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5"/>
        <w:ind w:left="9639"/>
        <w:jc w:val="center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ПРИЛОЖЕНИЕ № 1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963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Правительства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ind w:left="963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pStyle w:val="855"/>
        <w:ind w:left="9639"/>
        <w:jc w:val="center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left="9639"/>
        <w:jc w:val="center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«ПРИЛОЖЕНИЕ № 1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государственной программе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«Развитие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хозяйства и регулирование рынков сельскохозяйственной продукции, сырья и продовольствия в Новосибирской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области»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009" w:type="pct"/>
        <w:tblInd w:w="-4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024"/>
        <w:gridCol w:w="2063"/>
        <w:gridCol w:w="903"/>
        <w:gridCol w:w="735"/>
        <w:gridCol w:w="842"/>
        <w:gridCol w:w="832"/>
        <w:gridCol w:w="864"/>
        <w:gridCol w:w="952"/>
        <w:gridCol w:w="851"/>
        <w:gridCol w:w="876"/>
        <w:gridCol w:w="826"/>
        <w:gridCol w:w="875"/>
        <w:gridCol w:w="993"/>
        <w:gridCol w:w="1670"/>
        <w:gridCol w:w="29"/>
      </w:tblGrid>
      <w:tr>
        <w:tblPrEx/>
        <w:trPr/>
        <w:tc>
          <w:tcPr>
            <w:gridSpan w:val="15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5335" w:type="dxa"/>
            <w:textDirection w:val="lrTb"/>
            <w:noWrap w:val="false"/>
          </w:tcPr>
          <w:p>
            <w:pPr>
              <w:pStyle w:val="855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ЦЕЛИ, ЗАДАЧИ И ЦЕЛЕВЫЕ ИНДИКАТОРЫ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5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государственной программы Новосибирской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5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«Развитие сельского хозяйства и регулирование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5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рынков сельскохозяйственной продукции, сырья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 продовольствия в Новосибирской области»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Цель/задачи, требующие решения для достижения цели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</w:tcBorders>
            <w:tcW w:w="206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Наименование целевого индикатора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</w:tcBorders>
            <w:tcW w:w="90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gridSpan w:val="10"/>
            <w:tcBorders>
              <w:top w:val="single" w:color="auto" w:sz="4" w:space="0"/>
            </w:tcBorders>
            <w:tcW w:w="864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Значение целевого индикатора, в том числе по годам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</w:tcBorders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Примечание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0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2014 (факт)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2015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2016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2017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2018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2019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2020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2021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2022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2023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W w:w="202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  <w:trHeight w:val="420"/>
        </w:trPr>
        <w:tc>
          <w:tcPr>
            <w:gridSpan w:val="14"/>
            <w:tcW w:w="1530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 xml:space="preserve">Государственная программа «Развитие сельского хозяйства и регулирование рынков сельскохозяйственной продукции, сырья и продовольствия в Новосибирской области»</w:t>
            </w:r>
            <w:r/>
          </w:p>
        </w:tc>
      </w:tr>
      <w:tr>
        <w:tblPrEx/>
        <w:trPr>
          <w:gridAfter w:val="1"/>
        </w:trPr>
        <w:tc>
          <w:tcPr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Цель 1. Содействие в повышении объемов </w:t>
            </w:r>
            <w:r>
              <w:rPr>
                <w:rFonts w:ascii="Times New Roman" w:hAnsi="Times New Roman" w:cs="Times New Roman"/>
                <w:szCs w:val="22"/>
              </w:rPr>
              <w:t xml:space="preserve">производства продукции сельского хозяйства, пищевой и перерабатывающей промышленности в Новосибирской области, а также ее конкурентоспособности с целью обеспечения продовольственной безопасности Новосибирской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 Индекс производства продукции </w:t>
            </w:r>
            <w:r>
              <w:rPr>
                <w:rFonts w:ascii="Times New Roman" w:hAnsi="Times New Roman" w:cs="Times New Roman"/>
                <w:szCs w:val="22"/>
              </w:rPr>
              <w:t xml:space="preserve">сельского хозяйства в хозяйствах всех категорий (в сопоставимых ценах)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 % к предыдущему </w:t>
            </w:r>
            <w:r>
              <w:rPr>
                <w:rFonts w:ascii="Times New Roman" w:hAnsi="Times New Roman" w:cs="Times New Roman"/>
                <w:szCs w:val="22"/>
              </w:rPr>
              <w:t xml:space="preserve">году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96,5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102,7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102,4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101,8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101,9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102,2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92,7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101,9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101,8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88,5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  <w:trHeight w:val="433"/>
        </w:trPr>
        <w:tc>
          <w:tcPr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1.1. Индекс производства продукции сельского хозяйства ( в сопоставимых ценах) к уровню 2020 года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105,6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2. Индекс производства пищевых продуктов, включая напитки (в сопоставимых ценах)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 % к предыдущему году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101,3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102,2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102,1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102,3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01.01.2019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3. Индекс производства пищевых продуктов (в сопоставимых ценах)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 % к предыдущему году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107,1</w:t>
            </w:r>
            <w:hyperlink w:tooltip="#P2540" w:anchor="P2540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5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102,3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102,3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102,4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102,5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102,6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  <w:trHeight w:val="433"/>
        </w:trPr>
        <w:tc>
          <w:tcPr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3.1. Индекс производства пищевых продуктов ( в сопоставимых ценах) к уровню 2020 года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106,6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4. Индекс производства </w:t>
            </w:r>
            <w:r>
              <w:rPr>
                <w:rFonts w:ascii="Times New Roman" w:hAnsi="Times New Roman" w:cs="Times New Roman"/>
                <w:szCs w:val="22"/>
              </w:rPr>
              <w:t xml:space="preserve">напитков (в сопоставимых ценах)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 % к предыд</w:t>
            </w:r>
            <w:r>
              <w:rPr>
                <w:rFonts w:ascii="Times New Roman" w:hAnsi="Times New Roman" w:cs="Times New Roman"/>
                <w:szCs w:val="22"/>
              </w:rPr>
              <w:t xml:space="preserve">ущему году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106,2</w:t>
            </w:r>
            <w:hyperlink w:tooltip="#P2540" w:anchor="P2540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5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5. Индекс физического объема инвестиций в основной капитал сельского хозяйства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 % к предыдущему году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104,2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104,3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Задача 1.1. Создание условий для роста производства основных видов сельскохозяйственной продукции и производства пищевых продуктов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6. Индекс производства продукции растениеводства (в сопоставимых ценах)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 % к предыдущему году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87,8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105,0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103,6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101,4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101,4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87,6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102,5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102,4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78,5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7. Индекс производства продукции животноводства (в сопоставимых ценах)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 % к предыдущему году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103,8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101,5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102,4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102,3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102,7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96,5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101,4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101,3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99,9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8. Среднемесячная номинальная заработная плата в сельском хозяйстве (в сельскохозяйственных организациях, не относящихся к субъектам малого предпринимательства)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руб.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14573,0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16200,0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18300,0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19100,0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19900,0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21900,0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25000,0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26250,0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27500,0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34494,0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9.Отношение среднемесячной номинальной начисленной заработной платы работников сельского хозяйства к среднемесячной номинальной начисленной заработной плате по Новосибирской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t xml:space="preserve">64,2</w:t>
            </w:r>
            <w:hyperlink w:tooltip="#P2541" w:anchor="P2541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6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59,25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59,25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59,3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59,3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10. Прирост высокопроизводительных рабочих мест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 % к предыдущему году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11. Индекс производительности труда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105,0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104,9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104,7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104,7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104,7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104,4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94,0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107,2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107,1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107,1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12. Рентабельность сельскохозяйственных организаций по всей деятельности (включая субсидии)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18,0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13,0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14,0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16,0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19,0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Cs w:val="22"/>
                <w:highlight w:val="white"/>
              </w:rPr>
              <w:t xml:space="preserve">3. Объем экспорта продукции агропромышленного комплекса</w:t>
            </w:r>
            <w:r>
              <w:rPr>
                <w:rFonts w:ascii="Times New Roman" w:hAnsi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Cs w:val="22"/>
                <w:highlight w:val="white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млрд. долларов США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0,1485 </w:t>
            </w:r>
            <w:hyperlink w:tooltip="#P2541" w:anchor="P2541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6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0,1739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0,2022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0,2851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color w:val="ff0000"/>
                <w:szCs w:val="22"/>
              </w:rPr>
            </w:r>
            <w:r>
              <w:rPr>
                <w:rFonts w:ascii="Times New Roman" w:hAnsi="Times New Roman" w:cs="Times New Roman"/>
                <w:color w:val="ff0000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color w:val="ff0000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Cs w:val="22"/>
                <w:highlight w:val="white"/>
              </w:rPr>
              <w:t xml:space="preserve">0,4669</w:t>
            </w:r>
            <w:r>
              <w:rPr>
                <w:rFonts w:ascii="Times New Roman" w:hAnsi="Times New Roman" w:cs="Times New Roman"/>
                <w:color w:val="ff0000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color w:val="ff0000"/>
                <w:szCs w:val="22"/>
                <w:highlight w:val="white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01.01.2019, РП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14. Количество вовлеченных в </w:t>
            </w:r>
            <w:r>
              <w:rPr>
                <w:rFonts w:ascii="Times New Roman" w:hAnsi="Times New Roman" w:cs="Times New Roman"/>
                <w:szCs w:val="22"/>
              </w:rPr>
              <w:t xml:space="preserve">субъекты МСП, осуществляющие деятельность в сфере сельского хозяйства, в том числе за счет средств государственной поддержки,</w:t>
            </w:r>
            <w:r>
              <w:rPr>
                <w:rFonts w:ascii="Times New Roman" w:hAnsi="Times New Roman" w:cs="Times New Roman" w:eastAsiaTheme="minorHAnsi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в рамках федерального проекта "Создание системы поддержки фермеров и развитие сельской кооперации 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человек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</w:t>
            </w:r>
            <w:hyperlink w:tooltip="#P2541" w:anchor="P2541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6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132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01.01.2019, РП, </w:t>
            </w:r>
            <w:r>
              <w:rPr>
                <w:rFonts w:ascii="Times New Roman" w:hAnsi="Times New Roman" w:cs="Times New Roman"/>
                <w:szCs w:val="22"/>
              </w:rPr>
              <w:t xml:space="preserve">исключен с 01.01.2021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none" w:color="000000" w:sz="4" w:space="0"/>
            </w:tcBorders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15. Количество субъектов МСП в сфере АПК, получивших поддержку, в том числе в результате услуг, оказанных центром компетенций в сфере сельскохозяйственной кооперации и поддержки фермеров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единиц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t xml:space="preserve">28 </w:t>
            </w:r>
            <w:hyperlink w:tooltip="#P2541" w:anchor="P2541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6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65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</w:r>
            <w:r>
              <w:rPr>
                <w:rFonts w:ascii="Times New Roman" w:hAnsi="Times New Roman" w:cs="Times New Roman"/>
                <w:szCs w:val="22"/>
                <w:lang w:val="en-US"/>
              </w:rPr>
            </w:r>
          </w:p>
        </w:tc>
        <w:tc>
          <w:tcPr>
            <w:tcBorders>
              <w:bottom w:val="non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84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01.01.2021, РП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2024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Задача 1.2. Обеспечение ветеринарно-санитарного благополучия в </w:t>
            </w:r>
            <w:r>
              <w:rPr>
                <w:rFonts w:ascii="Times New Roman" w:hAnsi="Times New Roman" w:cs="Times New Roman"/>
                <w:szCs w:val="22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16. Степень выполнения плана по вакцинации, диагностике и ветеринарным </w:t>
            </w:r>
            <w:r>
              <w:rPr>
                <w:rFonts w:ascii="Times New Roman" w:hAnsi="Times New Roman" w:cs="Times New Roman"/>
                <w:szCs w:val="22"/>
              </w:rPr>
              <w:t xml:space="preserve">мероприятиям, установленного в рамках государственных заданий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2024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Цель 2. Создание условий для воспроизводства и повышения эффективности использования в сельском хозяйстве земельных ресурсов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17. Прирост объема производства продукции растениеводства на землях сельскохозяйственного назначения с учетом земель, введенных в эксплуатацию в рамках государственной программы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 к 2014 году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118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118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120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120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2024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Задача 2.1. Содействие в развитии мелиорации сельскохозяйственных земель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18. Сохранение существующих и создание новых высокотехнологичных рабочих мест для сельскохозяйственных товаропроизводителей при эксплуатации мелиоративных систем, мелиорируемых земель сельскохозяйственного назначения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рабочее место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2024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Цель 1. Создание условий для роста производства основных видов сельскохозяйственной продукции и производства пищевых продуктов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Задача 1. Создание условий для роста объемов производства, переработки и реализации сельскохозяйственной продукции и обеспечение финансовой устойчивости сельскохозяйственных товаропроизводителей в Новосибирской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19. Поголовье крупного рогатого скота специализированных мясных пород и их помесей, всего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голов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26,5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29,4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29,83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33,0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37,4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41,5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46,3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55,4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56,2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54,1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20.Прирост товарного поголовья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 за отчетный год по отношению к предыдущему году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голов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21.Производство скота и птицы на убой в сельскохозяйственных организациях, </w:t>
            </w:r>
            <w:r>
              <w:rPr>
                <w:rFonts w:ascii="Times New Roman" w:hAnsi="Times New Roman" w:cs="Times New Roman"/>
                <w:szCs w:val="22"/>
              </w:rPr>
              <w:t xml:space="preserve">крестьянских (фермерских) хозяйствах, включая индивидуальных предпринимателей (в живом весе)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177,0</w:t>
            </w:r>
            <w:hyperlink w:tooltip="#P2541" w:anchor="P2541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5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174,7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175,0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177,3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01.01.2020,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22. Количество единиц новой техники, приобретенной сельскохозяйственными товаропроизводителями основных отраслей сельского хозяйства в рамках государственной программы</w:t>
            </w:r>
            <w:hyperlink w:tooltip="#P2537" w:anchor="P2537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2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единица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1406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2191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1336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01.01.2017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23. Количество единиц новой техники, приобретенной сельскохозяйственными товаропроизводителями отрасли мясного скотоводства в рамках государственной программы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единица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01.01.2017,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01.01.2019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24. Производство зерновых и зернобобовых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1784,6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2747,2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2776,0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2200,0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2257,6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2319,2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2400,0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2700,0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2800,0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2900,0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25.Валовой сбор зерновых и зернобобовых культур в сельскохозяйственных организациях, крестьянских (фермерских) хозяйствах, включая индивидуальных предпринимателей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2421,4</w:t>
            </w:r>
            <w:hyperlink w:tooltip="#P2541" w:anchor="P2541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5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2392,8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2692,3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01.01.2020, исключен с 01.01.2022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26.Валовой сбор масличных культур (за исключением рапса и сои) в сельскохозяйственных организациях, крестьянских (фермерских) хозяйствах, включая индивидуальных предпринимателей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45,6 </w:t>
            </w:r>
            <w:hyperlink w:tooltip="#P2541" w:anchor="P2541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6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22,2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22,5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01.01.2020, исключен с 01.01.2022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27. Сохранение размера посевных площадей, занятых зерновыми, зернобобовыми и кормовыми сельскохозяйственными культурами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га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2250</w:t>
            </w:r>
            <w:hyperlink w:tooltip="#P2540" w:anchor="P2540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5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2250,0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2251,5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2253,0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01.01.2017, исключен с 01.01.2020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28.Размер посевных площадей, занятых зерновыми, зернобобовыми, </w:t>
            </w:r>
            <w:r>
              <w:rPr>
                <w:rFonts w:ascii="Times New Roman" w:hAnsi="Times New Roman" w:cs="Times New Roman"/>
              </w:rPr>
              <w:t xml:space="preserve">масличными и кормовыми сельскохозяйственными культурами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2090,3</w:t>
            </w:r>
            <w:hyperlink w:tooltip="#P2541" w:anchor="P2541" w:history="1">
              <w:r>
                <w:rPr>
                  <w:rFonts w:ascii="Times New Roman" w:hAnsi="Times New Roman" w:cs="Times New Roman"/>
                  <w:vertAlign w:val="superscript"/>
                </w:rPr>
                <w:t xml:space="preserve">5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2290,6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2343,7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2385,5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29. Размер застрахованных посевных площадей &lt;11&gt;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га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0,28</w:t>
            </w:r>
            <w:hyperlink w:tooltip="#P2540" w:anchor="P2540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5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01.01.2017,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01.01.2018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30. Доля застрахованной стоимости продукции растениеводства (страховая сумма по договорам сельскохозяйственного страхования) в общем объеме стоимости продукции растениеводства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5,6</w:t>
            </w:r>
            <w:hyperlink w:tooltip="#P2541" w:anchor="P2541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6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01.01.2018,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01.01.2019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31. Доля застрахованной посевной (посадочной) площади в общей посевной (посадочной) площади (в условных единицах площади)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 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</w:t>
            </w:r>
            <w:hyperlink w:tooltip="#P2541" w:anchor="P2541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6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0,72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32. Производство картофеля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443,5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597,0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597,0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01.01.2017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33. Валовой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60,0</w:t>
            </w:r>
            <w:hyperlink w:tooltip="#P2540" w:anchor="P2540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5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60,5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61,5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63,9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64,1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64,3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34. Валовой сбор овощей открытого грунта в сельскохозяйственных организациях, крестьянских (фермерских) хозяйствах, включая индивидуальных предпринимателей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18,8</w:t>
            </w:r>
            <w:hyperlink w:tooltip="#P2540" w:anchor="P2540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5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19,6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19,7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26,4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26,6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26,8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27,0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35. Доля площади, засеваемой элитными семенами, в общей площади посевов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4,6</w:t>
            </w:r>
            <w:hyperlink w:tooltip="#P2540" w:anchor="P2540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5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36. Валовой сбор льноволокна и пеньковолокна</w:t>
            </w:r>
            <w:hyperlink w:tooltip="#P2538" w:anchor="P2538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3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0,377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01.01.2017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37. Площадь закладки многолетних насаждений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га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0,19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0,35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0,16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0,170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0,175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0,18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0,1179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0,19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0,195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38. Производство </w:t>
            </w:r>
            <w:r>
              <w:rPr>
                <w:rFonts w:ascii="Times New Roman" w:hAnsi="Times New Roman" w:cs="Times New Roman"/>
                <w:szCs w:val="22"/>
              </w:rPr>
              <w:t xml:space="preserve">муки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</w:t>
            </w:r>
            <w:r>
              <w:rPr>
                <w:rFonts w:ascii="Times New Roman" w:hAnsi="Times New Roman" w:cs="Times New Roman"/>
                <w:szCs w:val="22"/>
              </w:rPr>
              <w:t xml:space="preserve">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235,0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235,0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133,0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137,7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141,8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146,0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149,0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155,0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39. Производство крупы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14,9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27,5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14,0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14,2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11,6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11,8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40. Производство диетических хлебобулочных изделий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0,413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0,4185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0,435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0,435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0,435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0,435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01.01.2020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41. Производство масла подсолнечного нерафинированного и его фракций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1,22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3,18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3,25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42. Производство плодоовощных консервов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млн. условных банок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344,2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614,5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615,0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308,1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314,0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320,0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317,9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322,7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327,5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332,4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43. Производство скота и птицы (в живом весе)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236,6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243,0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252,0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250,0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255,5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255,0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231,3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264,8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265,5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221,0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44. Прирост мощностей по убою скота и его первичной переработке (в убойном весе) к предыдущему году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3,1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01.01.2017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45. Производство молока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660,5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695,3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716,8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688,5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694,6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734,2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746,8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759,5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773,1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788,0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46. Производство молока в </w:t>
            </w:r>
            <w:r>
              <w:rPr>
                <w:rFonts w:ascii="Times New Roman" w:hAnsi="Times New Roman" w:cs="Times New Roman"/>
                <w:szCs w:val="22"/>
              </w:rPr>
              <w:t xml:space="preserve">сельскохозяйственных организациях, крестьянских (фермерских) хозяйствах, включая индивидуальных предпринимателей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528</w:t>
            </w:r>
            <w:hyperlink w:tooltip="#P2540" w:anchor="P2540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5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538,0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543,0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608,0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610,7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619,4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621,4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01.01.2017, </w:t>
            </w:r>
            <w:r>
              <w:rPr>
                <w:rFonts w:ascii="Times New Roman" w:hAnsi="Times New Roman" w:cs="Times New Roman"/>
                <w:szCs w:val="22"/>
              </w:rPr>
              <w:t xml:space="preserve">исключен с 01.01.2023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  <w:trHeight w:val="433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46.1.</w:t>
            </w:r>
            <w:r>
              <w:rPr>
                <w:rFonts w:ascii="Times New Roman" w:hAnsi="Times New Roman" w:cs="Times New Roman"/>
              </w:rPr>
              <w:t xml:space="preserve"> Производство молока в сельскохозяйственных организациях, крестьянских (фермерских) хозяйствах, включая индивидуальных предпринимателей и граждан, ведущих личное подсобное хозяйство, применяющих специальный налоговый режим "Налог на профессиональный доход"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тонн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558</w:t>
            </w:r>
            <w:hyperlink w:tooltip="#P2540" w:anchor="P2540" w:history="1">
              <w:r>
                <w:rPr>
                  <w:rFonts w:ascii="Times New Roman" w:hAnsi="Times New Roman" w:cs="Times New Roman"/>
                  <w:vertAlign w:val="superscript"/>
                </w:rPr>
                <w:t xml:space="preserve">6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70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47.Прирост производства молока в сельскохозяйственных организациях, крестьянских (фермерских) хозяйствах, включая индивидуальных </w:t>
            </w:r>
            <w:r>
              <w:rPr>
                <w:rFonts w:ascii="Times New Roman" w:hAnsi="Times New Roman" w:cs="Times New Roman"/>
              </w:rPr>
              <w:t xml:space="preserve">предпринимателей за отчетный год по отношению к среднему за 5 лет, предшествующих текущему, объему производства молока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тонн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93,3</w:t>
            </w:r>
            <w:hyperlink w:tooltip="#P2541" w:anchor="P2541" w:history="1">
              <w:r>
                <w:rPr>
                  <w:rFonts w:ascii="Times New Roman" w:hAnsi="Times New Roman" w:cs="Times New Roman"/>
                  <w:vertAlign w:val="superscript"/>
                </w:rPr>
                <w:t xml:space="preserve">6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43,09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01.01.2020, исключен с 01.01.2023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48. Численность застрахованного поголовья сельскохозяйственных животных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условных голов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26,4</w:t>
            </w:r>
            <w:hyperlink w:tooltip="#P2540" w:anchor="P2540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5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01.01.2017,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01.01.2018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49. Доля застрахованной стоимости продукции животноводства (страховая сумма по договорам сельскохозяйственного страхования) в общем объеме стоимости продукции животноводства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0,8</w:t>
            </w:r>
            <w:hyperlink w:tooltip="#P2541" w:anchor="P2541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6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01.01.2018,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01.01.2019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50. Доля застрахованного поголовья сельскохозяйственных животных в общем поголовье сельскохозяйственных животных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1,0</w:t>
            </w:r>
            <w:hyperlink w:tooltip="#P2541" w:anchor="P2541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6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3,1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23,5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28,0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28,0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51. Численность товарного поголовья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голов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11,2</w:t>
            </w:r>
            <w:hyperlink w:tooltip="#P2540" w:anchor="P2540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5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13,0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14,6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16,3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17,0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22,2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52. Сохранность племенного условного маточного поголовья сельскохозяйственных животных к уровню предыдущего года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105,7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01.01.2017,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01.01.2019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53. Реализация племенного молодняка крупного рогатого скота молочных и мясных пород на 100 голов маток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голов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9,6</w:t>
            </w:r>
            <w:hyperlink w:tooltip="#P2540" w:anchor="P2540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5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9,0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01.01.2017,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01.01.2019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54. Племенное условное маточное поголовье сельскохозяйственных животных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усл. гол.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35,0</w:t>
            </w:r>
            <w:hyperlink w:tooltip="#P2541" w:anchor="P2541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6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35,0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37,2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37,2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37,2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26,1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55. Производство сыров и сырных продуктов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16,6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9,9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21,4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56. Производство масла сливочного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5,1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5,1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57. Количество крестьянских (фермерских) хозяйств, начинающих фермеров, осуществивших проекты создания и развития своих хозяйств с помощью грантовой поддержки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единица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01.01.2020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58. Количество построенных или реконструированных семейных животноводческих ферм на базе К(Ф)Х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единица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01.01.2020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59. Количество новых постоянных рабочих мест, созданных в году получения гранта в К(Ф)Х, осуществляющих проекты создания и развития своих хозяйств с </w:t>
            </w:r>
            <w:r>
              <w:rPr>
                <w:rFonts w:ascii="Times New Roman" w:hAnsi="Times New Roman" w:cs="Times New Roman"/>
                <w:szCs w:val="22"/>
              </w:rPr>
              <w:t xml:space="preserve">помощью грантовой поддержки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ед.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79</w:t>
            </w:r>
            <w:hyperlink w:tooltip="#P2540" w:anchor="P2540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5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91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91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01.01.2017, исключен с 01.01.2020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60. Прирост объема сельскохозяйственной продукции, произведенной К(Ф)Х, включая индивидуальных предпринимателей, получившими грантовую поддержку, по отношению к году, предшествующему году предоставления субсидии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01.01.2017, исключен с 01.01.2020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61.Прирост объема сельскохозяйственной продукции, произведенной в отчетном году крестьянскими (фермерскими) хозяйствами, включая индивидуальных предпринимателей, получивших грантовую поддержку, за последние пять лет (включая отчетный год), по отношению </w:t>
            </w:r>
            <w:r>
              <w:rPr>
                <w:rFonts w:ascii="Times New Roman" w:hAnsi="Times New Roman" w:cs="Times New Roman"/>
              </w:rPr>
              <w:t xml:space="preserve">к предыдущему году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01.01.2020, исключен с 01.01.2021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62. Площадь земельных участков, оформленных в собственность К(Ф)Х</w:t>
            </w:r>
            <w:hyperlink w:tooltip="#P2538" w:anchor="P2538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3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га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1,0667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6,333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01.01.2017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63. Количество сельскохозяйственных потребительских кооперативов (СПоК), осуществивших проекты по улучшению своей материально-технической базы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единица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64. Количество новых постоянных рабочих мест, созданных в СПоК, получивших грантовую поддержку для развития материально-технической базы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ед.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01.01.2017, исключен с 01.01.2020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65. Прирост объема сельскохозяйственной продукции, произведенной в отчетном году </w:t>
            </w:r>
            <w:r>
              <w:rPr>
                <w:rFonts w:ascii="Times New Roman" w:hAnsi="Times New Roman" w:cs="Times New Roman"/>
                <w:szCs w:val="22"/>
              </w:rPr>
              <w:t xml:space="preserve">крестьянскими (фермерскими) хозяйствами и индивидуальными предпринимателями, реализующими проекты с помощью грантовой поддержки на развитие семейных ферм и гранта  «Агропрогресс» за последние пять лет (включая отчетный год), по отношению к предыдущему году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66. Количество крестьянских (фермерских) хозяйств, осуществляющих проекты создания и развития своих хозяйств с помощью грантовой  поддержки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ед.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01.01.2020, исключен с 01.01.2021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67. Прирост объема сельскохозяйственной продукции, реализованной СПоК, получившими грантовую поддержку, по </w:t>
            </w:r>
            <w:r>
              <w:rPr>
                <w:rFonts w:ascii="Times New Roman" w:hAnsi="Times New Roman" w:cs="Times New Roman"/>
                <w:szCs w:val="22"/>
              </w:rPr>
              <w:t xml:space="preserve">отношению к году, предшествующему году предоставления субсидии</w:t>
            </w:r>
            <w:hyperlink w:tooltip="#P2534" w:anchor="P2534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1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01.01.2017, исключен с 01.01.2020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68. Количество проектов грантополучателей, реализуемых с помощью грантовой поддержки на развитие семейных ферм и гранта «Агропрогресс»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единица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69. Прирост объема сельскохозяйственной продукции, реализованной в отчетном году сельскохозяйственными потребительскими кооперативами, получившими грантовую поддержку, за последние пять лет (включая отчетный год), по отношению к предыдущему году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01.01.2020, исключен с 01.01.2022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70. Количество единиц новой техники, </w:t>
            </w:r>
            <w:r>
              <w:rPr>
                <w:rFonts w:ascii="Times New Roman" w:hAnsi="Times New Roman" w:cs="Times New Roman"/>
                <w:szCs w:val="22"/>
              </w:rPr>
              <w:t xml:space="preserve">приобретенной сельскохозяйственными товаропроизводителями прочих отраслей сельского хозяйства в рамках государственной программы</w:t>
            </w:r>
            <w:hyperlink w:tooltip="#P2537" w:anchor="P2537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2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единица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492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515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323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01.01.2017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71. Количество единиц новой техники, приобретенной для сельскохозяйственного производства в рамках государственной программы (за исключением отрасли мясного скотоводства)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единица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635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900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01.01.2017,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01.01.2019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72. Количество единиц новой техники, приобретенной для сельскохозяйственного производства в рамках государственной программы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единица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1300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1400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1450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1500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1380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auto" w:sz="4" w:space="0"/>
            </w:tcBorders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73. Количество крестьянских (фермерских) хозяйств и </w:t>
            </w:r>
            <w:r>
              <w:rPr>
                <w:rFonts w:ascii="Times New Roman" w:hAnsi="Times New Roman" w:cs="Times New Roman"/>
                <w:szCs w:val="22"/>
              </w:rPr>
              <w:t xml:space="preserve">сельскохозяйственных потребительских кооперативов, получивших государственную поддержку, в том числе в рамках федерального проекта "Создание системы поддержки фермеров и развитие сельской кооперации"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единиц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</w:t>
            </w:r>
            <w:hyperlink w:tooltip="#P2541" w:anchor="P2541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6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01.01.2019, РП, исключен с 01.01.2021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74. Доля муниципальных органов управления АПК, использующих информационные ресурсы системы государственного информационного обеспечения (государственная автоматизированная система управления агропромышленного комплекса)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 от общего количества муниципальных органов управления АПК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60,9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61,5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62,6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64,0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95,0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>
          <w:gridAfter w:val="1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202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0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75.Объем вылова  рыбы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тонн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11402,5</w:t>
            </w:r>
            <w:hyperlink w:tooltip="#P2541" w:anchor="P2541" w:history="1">
              <w:r>
                <w:rPr>
                  <w:rFonts w:ascii="Times New Roman" w:hAnsi="Times New Roman" w:cs="Times New Roman"/>
                  <w:vertAlign w:val="superscript"/>
                </w:rPr>
                <w:t xml:space="preserve">6</w:t>
              </w:r>
            </w:hyperlink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11600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11800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12500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  <w:trHeight w:val="253"/>
        </w:trPr>
        <w:tc>
          <w:tcPr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75.1.Прирост производства овощей открытого грунта в </w:t>
            </w:r>
            <w:r>
              <w:rPr>
                <w:rFonts w:ascii="Times New Roman" w:hAnsi="Times New Roman" w:cs="Times New Roman"/>
                <w:szCs w:val="22"/>
              </w:rPr>
              <w:t xml:space="preserve">сельскохозяйственных организациях, крестьянских (фермерских) хозяйствах и у индивидуальных предпринимателей за отчетный год по отношению к показателю, предусмотренному соглашением с субъектом Российской Федерации за предыдущий год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01.01.2021, исключен с 01.01.2023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  <w:trHeight w:val="253"/>
        </w:trPr>
        <w:tc>
          <w:tcPr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75.2. Прирост объема молока сырого крупного рогатого скота, козьего и овечьего, переработанного на пищевую продукцию, за отчетный год по отношению к среднему объему производства молока за пять лет, предшествующих отчетному году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тыс.тонн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Cs w:val="22"/>
                <w:highlight w:val="white"/>
              </w:rPr>
              <w:t xml:space="preserve">42,0</w:t>
            </w:r>
            <w:r>
              <w:rPr>
                <w:rFonts w:ascii="Times New Roman" w:hAnsi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Cs w:val="22"/>
                <w:highlight w:val="white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Cs w:val="22"/>
                <w:highlight w:val="white"/>
              </w:rPr>
              <w:t xml:space="preserve">48,066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670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  <w:trHeight w:val="253"/>
        </w:trPr>
        <w:tc>
          <w:tcPr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75.3. Площадь уходных работ за многолетними насаждениями (до </w:t>
            </w:r>
            <w:r>
              <w:rPr>
                <w:rFonts w:ascii="Times New Roman" w:hAnsi="Times New Roman" w:cs="Times New Roman"/>
                <w:szCs w:val="22"/>
              </w:rPr>
              <w:t xml:space="preserve">вступления в товарное плодоношение, но не более трех лет с момента закладки для садов интенсивного типа) в сельскохозяйственных организациях, крестьянских (фермерских) хозяйствах и у индивидуальных предпринимателей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тыс.га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Cs w:val="22"/>
                <w:highlight w:val="white"/>
              </w:rPr>
              <w:t xml:space="preserve">0,3003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670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  <w:trHeight w:val="253"/>
        </w:trPr>
        <w:tc>
          <w:tcPr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75.4. Прирост объема сельскохозяйственной продукц</w:t>
            </w:r>
            <w:r>
              <w:rPr>
                <w:rFonts w:ascii="Times New Roman" w:hAnsi="Times New Roman" w:cs="Times New Roman"/>
                <w:szCs w:val="22"/>
              </w:rPr>
              <w:t xml:space="preserve">ии, произведенной крестьянскими (фермерскими) хозяйствами, индивидуальными предпринимателями, реализующими проекты с помощью грантовой поддержки на развитие семейных ферм, субъектами малого предпринимательства, реализующими проекты гранта "Агропрогресс" в </w:t>
            </w:r>
            <w:r>
              <w:rPr>
                <w:rFonts w:ascii="Times New Roman" w:hAnsi="Times New Roman" w:cs="Times New Roman"/>
                <w:szCs w:val="22"/>
              </w:rPr>
              <w:t xml:space="preserve">отчетном году, по отношению к предыдущему году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01.01.2022, исключен с 01.01.2023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  <w:trHeight w:val="253"/>
        </w:trPr>
        <w:tc>
          <w:tcPr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75.5. Прирост объема сельскохозяйственной продукции, реализованной СПоК, получившими грантовую поддержку в отчетном году, по отношению к предыдущему году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 с 01.01.2022, исключен с 01.01.2023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  <w:trHeight w:val="253"/>
        </w:trPr>
        <w:tc>
          <w:tcPr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75.6. Надой на 1 корову в сельскохозяйственных организациях, крестьянских (фермерских) хозяйствах, включая индивидуальных предпринимателей, получивших государственную поддержку на приобретение технических средств в рамках государственной программы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кг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6069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6154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  <w:trHeight w:val="253"/>
        </w:trPr>
        <w:tc>
          <w:tcPr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75.7. Прирост объема </w:t>
            </w:r>
            <w:r>
              <w:rPr>
                <w:rFonts w:ascii="Times New Roman" w:hAnsi="Times New Roman" w:cs="Times New Roman"/>
                <w:szCs w:val="22"/>
              </w:rPr>
              <w:t xml:space="preserve">производства сельскохозяйственной продукции в отчетном году по отношению к предыдущему году в крестьянских (фермерских) хозяйствах и у получателей гранта "Агропрогресс", получивших указанный грант, в течение предыдущих пяти лет, включая отчетный год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  <w:trHeight w:val="253"/>
        </w:trPr>
        <w:tc>
          <w:tcPr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75.8. Прирост объема продукции, реализованной в отчетном году СПоК, получившими грантовую поддержку на развитие материально-технической базы, за последние пять лет (включая отчетный год) по отношению к предыдущему году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  <w:trHeight w:val="253"/>
        </w:trPr>
        <w:tc>
          <w:tcPr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75.9. Количество туристов, </w:t>
            </w:r>
            <w:r>
              <w:rPr>
                <w:rFonts w:ascii="Times New Roman" w:hAnsi="Times New Roman" w:cs="Times New Roman"/>
                <w:szCs w:val="22"/>
              </w:rPr>
              <w:t xml:space="preserve">посетивших объекты сельского туризма сельскохозяйственных товаропроизводителей, получивших государственную поддержку (нарастающим итогом)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человек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  <w:trHeight w:val="253"/>
        </w:trPr>
        <w:tc>
          <w:tcPr>
            <w:gridSpan w:val="14"/>
            <w:tcW w:w="1530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Подпрограмма 2 «Проведение пр</w:t>
            </w:r>
            <w:r>
              <w:rPr>
                <w:rFonts w:ascii="Times New Roman" w:hAnsi="Times New Roman" w:cs="Times New Roman"/>
                <w:szCs w:val="22"/>
              </w:rPr>
              <w:t xml:space="preserve">отивоэпизоотических и ветеринарно-санитарных мероприятий по предупреждению возникновения и распространения африканской чумы свиней, ящура и других заразных болезней животных, в том числе лейкоза крупного рогатого скота, на территории Новосибирской области»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2024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Цель 1. Обеспечение ветеринарно-санитарного благополучия в Новосибирской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Задача 1. Обеспечение профилактических вакцинаций, мероприятий и диагностических исследований на заразные, в том числе особо опасные, болезни животных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76. Охват поголовья животных вакцинацией и диагностическими исследованиями от общего числа животных, подлежащих вакцинации и диагностическим исследованиям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 от общего поголовья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92,0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91,0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01.01.2016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77. Охват поголовья животных </w:t>
            </w:r>
            <w:r>
              <w:rPr>
                <w:rFonts w:ascii="Times New Roman" w:hAnsi="Times New Roman" w:cs="Times New Roman"/>
                <w:szCs w:val="22"/>
              </w:rPr>
              <w:t xml:space="preserve">вакцинацией от заразных, в том числе особо опасных, болезней животных (от общего числа животных, подлежащих вакцинации в рамках государственных заданий)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 от общего </w:t>
            </w:r>
            <w:r>
              <w:rPr>
                <w:rFonts w:ascii="Times New Roman" w:hAnsi="Times New Roman" w:cs="Times New Roman"/>
                <w:szCs w:val="22"/>
              </w:rPr>
              <w:t xml:space="preserve">количества поголовья животных, подлежащих вакцинации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hyperlink w:tooltip="#P2539" w:anchor="P2539" w:history="1">
              <w:r>
                <w:rPr>
                  <w:rFonts w:ascii="Times New Roman" w:hAnsi="Times New Roman" w:cs="Times New Roman"/>
                  <w:szCs w:val="22"/>
                  <w:vertAlign w:val="superscript"/>
                </w:rPr>
                <w:t xml:space="preserve">4</w:t>
              </w:r>
            </w:hyperlink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Задача 2. Содействие животноводческим хозяйствам в оздоровлении крупного рогатого скота и птицы, а также в повышении эффективности проводимых ими профилактических и лечебных мероприятий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78. Уровень обеспечения хозяйств КРС области индивидуальными программами проведения мероприятий по предотвращению причинения вреда от лейкоза КРС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 от общего количества хозяйств КРС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13,0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16,9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14,6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16,1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17,7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19,3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19,3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19,3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19,3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79. Уровень обеспечения хозяйств области индивидуальными программами проведения мероприятий по предотвращению причинения вреда от туберкулеза и бруцеллеза КРС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 от общего количества хозяйств КРС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8,85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8,85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8,85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8,85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80. Уровень обеспечения птицеводческих хозяйств области индивидуальными программами проведения мероприятий по предотвращению причинения вреда от сальмонеллеза птиц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 от общего количества птицеводческих хозяйств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18,8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18,8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18,8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18,8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01.01.2019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none" w:color="000000" w:sz="4" w:space="0"/>
            </w:tcBorders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81. Уровень обеспечения хозяйств КРС области индивидуальными программами проведения технологических и специальных ветеринарных мероприятий при возникновении заразных и незаразных болезней животных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 от общего количества хозяйств КРС области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12,0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10,9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13,5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16,15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18,75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18,75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18,75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18,75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non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Задача 3. Создание материально-технических условий для реализации мер по защите территории Новосибирской области от заноса и </w:t>
            </w:r>
            <w:r>
              <w:rPr>
                <w:rFonts w:ascii="Times New Roman" w:hAnsi="Times New Roman" w:cs="Times New Roman"/>
                <w:szCs w:val="22"/>
              </w:rPr>
              <w:t xml:space="preserve">распространения заразных болезней животных, в том числе вируса АЧС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82. Уровень обеспечения учреждений ветеринарии современным оборудованием и расходными материалами для </w:t>
            </w:r>
            <w:r>
              <w:rPr>
                <w:rFonts w:ascii="Times New Roman" w:hAnsi="Times New Roman" w:cs="Times New Roman"/>
                <w:szCs w:val="22"/>
              </w:rPr>
              <w:t xml:space="preserve">диагностики заразных болезней животных, хранения биопрепаратов, проведения дезинфекций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 от общей потребности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45,4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45,7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51,2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56,6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62,5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исключен с 01.01.2019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83. Доля зданий учреждений ветеринарии, соответствующих нормам технологического проектирования ветеринарных объектов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 от общего количества зданий учреждений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28,3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35,0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48,3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66,7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72,8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71,76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82,35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88,23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90,59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90,59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84. Охват свинопоголовья на свиноводческих предприятиях Новосибирской области мониторинговыми исследованиями на вирус АЧС и других возбудителей заразных болезней животных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 от общей численности поголовья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0,08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0,08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0,08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0,08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01.01.2016, исключен с 01.01.2021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  <w:trHeight w:val="433"/>
        </w:trPr>
        <w:tc>
          <w:tcPr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84.1.Охват поголовья свиней, крупного и мелкого рогатого скота на животноводческих объектах (включая перерабатывающие </w:t>
            </w:r>
            <w:r>
              <w:rPr>
                <w:rFonts w:ascii="Times New Roman" w:hAnsi="Times New Roman" w:cs="Times New Roman"/>
                <w:szCs w:val="22"/>
              </w:rPr>
              <w:t xml:space="preserve">предприятия) мониторинговыми исследованиями на вирус АЧС, ящура и других возбудителей заразных болезней животных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% от общей численности поголовья на животн</w:t>
            </w:r>
            <w:r>
              <w:rPr>
                <w:rFonts w:ascii="Times New Roman" w:hAnsi="Times New Roman" w:cs="Times New Roman"/>
                <w:szCs w:val="22"/>
              </w:rPr>
              <w:t xml:space="preserve">оводческих объектах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0,0042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  <w:trHeight w:val="253"/>
        </w:trPr>
        <w:tc>
          <w:tcPr>
            <w:gridSpan w:val="14"/>
            <w:tcW w:w="1530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Подпрограмма 3 «Развитие мелиорации сельскохозяйственных земель в Новосибирской области»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2024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Цель 1.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Задача 1.1. Содействие в повышении эффективности использования земель сельскохозяйственного назначения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85. Площадь мелиорируемых земель, введенных в эксплуатацию за счет реконструкции, технического перевооружения и строительства новых мелиоративных систем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га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0,122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0,116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0,624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0,571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0,335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0,222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0,074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Cs w:val="22"/>
                <w:highlight w:val="white"/>
              </w:rPr>
              <w:t xml:space="preserve">0,1086</w:t>
            </w:r>
            <w:r>
              <w:rPr>
                <w:rFonts w:ascii="Times New Roman" w:hAnsi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Cs w:val="22"/>
                <w:highlight w:val="white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Cs w:val="22"/>
                <w:highlight w:val="white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86. Площадь сельскохозяйственных угодий, вовлеченных в оборот за счет проведения культуртехнических работ сельскохозяйственными товаропроизводителями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га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4,6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11,603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8,2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Borders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auto" w:sz="4" w:space="0"/>
            </w:tcBorders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87. В том числе на мелиорированных землях (орошаемых и осушаемых)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га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bottom w:val="single" w:color="auto" w:sz="4" w:space="0"/>
            </w:tcBorders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>
          <w:gridAfter w:val="1"/>
          <w:trHeight w:val="1158"/>
        </w:trPr>
        <w:tc>
          <w:tcPr>
            <w:tcBorders>
              <w:bottom w:val="none" w:color="000000" w:sz="4" w:space="0"/>
            </w:tcBorders>
            <w:tcW w:w="202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206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88. Площадь выбывших сельскохозяйственных угодий, вовлеченных в оборот за счет проведения культуртехнических мероприятий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90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 га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73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4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3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6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952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8,5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7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2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5,0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75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18,544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Cs w:val="22"/>
                <w:highlight w:val="white"/>
              </w:rPr>
              <w:t xml:space="preserve">17,490</w:t>
            </w:r>
            <w:bookmarkStart w:id="0" w:name="_GoBack"/>
            <w:r>
              <w:rPr>
                <w:highlight w:val="white"/>
              </w:rPr>
            </w:r>
            <w:bookmarkEnd w:id="0"/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67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Cs w:val="22"/>
                <w:highlight w:val="white"/>
              </w:rPr>
            </w:r>
          </w:p>
        </w:tc>
      </w:tr>
      <w:tr>
        <w:tblPrEx/>
        <w:trPr>
          <w:gridAfter w:val="1"/>
          <w:trHeight w:val="1158"/>
        </w:trPr>
        <w:tc>
          <w:tcPr>
            <w:tcBorders>
              <w:bottom w:val="non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063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89. Площадь земельных участков из состава земель сельскохозяйственного назначения, государственная собственность на которых не разграничена, и </w:t>
            </w:r>
            <w:r>
              <w:rPr>
                <w:rFonts w:ascii="Times New Roman" w:hAnsi="Times New Roman" w:cs="Times New Roman"/>
                <w:szCs w:val="22"/>
              </w:rPr>
              <w:t xml:space="preserve">земельных участков, выделенных в счет невостребованных земельных долей, находящихся в собственности муниципальных образований, в отношении которых осуществлен государственный кадастровый учет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90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тыс.га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73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83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86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95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8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82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87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Cs w:val="22"/>
                <w:highlight w:val="white"/>
              </w:rPr>
              <w:t xml:space="preserve">8,472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670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  <w:tr>
        <w:tblPrEx/>
        <w:trPr>
          <w:gridAfter w:val="1"/>
          <w:trHeight w:val="1158"/>
        </w:trPr>
        <w:tc>
          <w:tcPr>
            <w:tcBorders>
              <w:bottom w:val="none" w:color="000000" w:sz="4" w:space="0"/>
            </w:tcBorders>
            <w:tcW w:w="202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063" w:type="dxa"/>
            <w:vMerge w:val="restart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90. Площадь земельных участков, выделенных в счет невостребованных земельных долей, находящихся в собственности муниципальных образований, в отношении которых подготовлены проекты межевания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90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тыс.га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73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83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86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952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87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826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875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Cs w:val="22"/>
                <w:highlight w:val="white"/>
              </w:rPr>
              <w:t xml:space="preserve">8,472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670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введен с 01.01.2023</w:t>
            </w: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  <w:szCs w:val="22"/>
              </w:rPr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nextPage"/>
          <w:pgSz w:w="16838" w:h="11905" w:orient="landscape"/>
          <w:pgMar w:top="1418" w:right="567" w:bottom="851" w:left="964" w:header="0" w:footer="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5"/>
        <w:jc w:val="both"/>
      </w:pPr>
      <w:r>
        <w:t xml:space="preserve">--------------------------------</w:t>
      </w:r>
      <w:r/>
    </w:p>
    <w:p>
      <w:pPr>
        <w:pStyle w:val="85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 Значения целевых индикаторов  2015 - 2016 годов рассчитаны с учетом значений показателей, включенных в Соглашение между Министерством сельского хозяйства Российской Федерации и Правительством Новосибирской области «О реализации м</w:t>
      </w:r>
      <w:r>
        <w:rPr>
          <w:rFonts w:ascii="Times New Roman" w:hAnsi="Times New Roman" w:cs="Times New Roman"/>
          <w:sz w:val="28"/>
          <w:szCs w:val="28"/>
        </w:rPr>
        <w:t xml:space="preserve">ероприятий Государственной программы развития сельского хозяйства и регулирования рынков сельскохозяйственной продукции, сырья и продовольствия на 2013 - 2020 годы» от 25.12.2012 № 2929/17,  2017-2020 годов с учетом значений индикаторов, предусмотренных в </w:t>
      </w:r>
      <w:hyperlink r:id="rId10" w:tooltip="consultantplus://offline/ref=EC0E6653E6927E56FB1722D7000EDD0FCFAA0BA4919D30673D3F15E337E641E2FAF4DD614837C8F0g3w3F" w:history="1">
        <w:r>
          <w:rPr>
            <w:rFonts w:ascii="Times New Roman" w:hAnsi="Times New Roman" w:cs="Times New Roman"/>
            <w:sz w:val="28"/>
            <w:szCs w:val="28"/>
          </w:rPr>
          <w:t xml:space="preserve">приложении №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Государственной программе развития сельского хозяйства и регулирования рынков сельскохозяйственной продукции, сырья и продовольствия на 2013 - 2020 годы, утвержденной постановл</w:t>
      </w:r>
      <w:r>
        <w:rPr>
          <w:rFonts w:ascii="Times New Roman" w:hAnsi="Times New Roman" w:cs="Times New Roman"/>
          <w:sz w:val="28"/>
          <w:szCs w:val="28"/>
        </w:rPr>
        <w:t xml:space="preserve">ением Правительства Российской Федерации от 14.07.2012 № 717 для Новосибирской области (в редакции от 10.11.2017 №1347), начиная с 2021 года с учетом прогнозных значений темпа роста целевых индикаторов, рекомендованных Министерством сельского хозяйства РФ.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 Целевой индикатор исключен из состава государственной программы с 01.01.2017, начиная с 2017 года соответствующие количественные показатели (за исключением отрасли мясного скотоводства) учитывают</w:t>
      </w:r>
      <w:r>
        <w:rPr>
          <w:rFonts w:ascii="Times New Roman" w:hAnsi="Times New Roman" w:cs="Times New Roman"/>
          <w:sz w:val="28"/>
          <w:szCs w:val="28"/>
        </w:rPr>
        <w:t xml:space="preserve">ся при формировании значений целевого индикатора «количество единиц новой техники, приобретенной для сельскохозяйственного производства в рамках государственной программы (за исключением отрасли мясного скотоводства)». Значения 2014 года указаны справочно.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 Целевой индикатор исключен из состава государственной программы с 01.01.2017 в связи с прекращением оказания (неоказанием) соответствующего вида государственной поддержки.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 - значения 2015 года являются базовыми и приведены по оценке управления ветеринарии Новосибирской области;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 - приведены фактические значения, которые являются базовыми;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 -приведены оценочные значения, которые являются базовыми.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Применяемые сокращения: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АПК - агропромышленный комплекс;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АЧС - африканская чума свиней;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К(Ф)Х - крестьянские (фермерские) хозяйства;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КРС - крупный рогатый скот;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СПоК - сельскохозяйственный потребительский кооператив.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683"/>
    <w:link w:val="674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683"/>
    <w:link w:val="675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683"/>
    <w:link w:val="676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60">
    <w:name w:val="Heading 5 Char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61">
    <w:name w:val="Heading 6 Char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62">
    <w:name w:val="Heading 7 Char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8 Char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64">
    <w:name w:val="Heading 9 Char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character" w:styleId="665">
    <w:name w:val="Title Char"/>
    <w:basedOn w:val="683"/>
    <w:link w:val="697"/>
    <w:uiPriority w:val="10"/>
    <w:rPr>
      <w:sz w:val="48"/>
      <w:szCs w:val="48"/>
    </w:rPr>
  </w:style>
  <w:style w:type="character" w:styleId="666">
    <w:name w:val="Subtitle Char"/>
    <w:basedOn w:val="683"/>
    <w:link w:val="699"/>
    <w:uiPriority w:val="11"/>
    <w:rPr>
      <w:sz w:val="24"/>
      <w:szCs w:val="24"/>
    </w:rPr>
  </w:style>
  <w:style w:type="character" w:styleId="667">
    <w:name w:val="Quote Char"/>
    <w:link w:val="701"/>
    <w:uiPriority w:val="29"/>
    <w:rPr>
      <w:i/>
    </w:rPr>
  </w:style>
  <w:style w:type="character" w:styleId="668">
    <w:name w:val="Intense Quote Char"/>
    <w:link w:val="703"/>
    <w:uiPriority w:val="30"/>
    <w:rPr>
      <w:i/>
    </w:rPr>
  </w:style>
  <w:style w:type="character" w:styleId="669">
    <w:name w:val="Header Char"/>
    <w:basedOn w:val="683"/>
    <w:link w:val="705"/>
    <w:uiPriority w:val="99"/>
  </w:style>
  <w:style w:type="character" w:styleId="670">
    <w:name w:val="Caption Char"/>
    <w:basedOn w:val="709"/>
    <w:link w:val="707"/>
    <w:uiPriority w:val="99"/>
  </w:style>
  <w:style w:type="character" w:styleId="671">
    <w:name w:val="Footnote Text Char"/>
    <w:link w:val="838"/>
    <w:uiPriority w:val="99"/>
    <w:rPr>
      <w:sz w:val="18"/>
    </w:rPr>
  </w:style>
  <w:style w:type="character" w:styleId="672">
    <w:name w:val="Endnote Text Char"/>
    <w:link w:val="841"/>
    <w:uiPriority w:val="99"/>
    <w:rPr>
      <w:sz w:val="20"/>
    </w:rPr>
  </w:style>
  <w:style w:type="paragraph" w:styleId="673" w:default="1">
    <w:name w:val="Normal"/>
    <w:qFormat/>
  </w:style>
  <w:style w:type="paragraph" w:styleId="674">
    <w:name w:val="Heading 1"/>
    <w:basedOn w:val="673"/>
    <w:next w:val="673"/>
    <w:link w:val="6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5">
    <w:name w:val="Heading 2"/>
    <w:basedOn w:val="673"/>
    <w:next w:val="673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6">
    <w:name w:val="Heading 3"/>
    <w:basedOn w:val="673"/>
    <w:next w:val="673"/>
    <w:link w:val="6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7">
    <w:name w:val="Heading 4"/>
    <w:basedOn w:val="673"/>
    <w:next w:val="673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673"/>
    <w:next w:val="673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673"/>
    <w:next w:val="673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0">
    <w:name w:val="Heading 7"/>
    <w:basedOn w:val="673"/>
    <w:next w:val="673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1">
    <w:name w:val="Heading 8"/>
    <w:basedOn w:val="673"/>
    <w:next w:val="673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2">
    <w:name w:val="Heading 9"/>
    <w:basedOn w:val="673"/>
    <w:next w:val="673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 w:default="1">
    <w:name w:val="Default Paragraph Font"/>
    <w:uiPriority w:val="1"/>
    <w:semiHidden/>
    <w:unhideWhenUsed/>
  </w:style>
  <w:style w:type="table" w:styleId="6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5" w:default="1">
    <w:name w:val="No List"/>
    <w:uiPriority w:val="99"/>
    <w:semiHidden/>
    <w:unhideWhenUsed/>
  </w:style>
  <w:style w:type="character" w:styleId="686" w:customStyle="1">
    <w:name w:val="Заголовок 1 Знак"/>
    <w:basedOn w:val="683"/>
    <w:link w:val="674"/>
    <w:uiPriority w:val="9"/>
    <w:rPr>
      <w:rFonts w:ascii="Arial" w:hAnsi="Arial" w:eastAsia="Arial" w:cs="Arial"/>
      <w:sz w:val="40"/>
      <w:szCs w:val="40"/>
    </w:rPr>
  </w:style>
  <w:style w:type="character" w:styleId="687" w:customStyle="1">
    <w:name w:val="Заголовок 2 Знак"/>
    <w:basedOn w:val="683"/>
    <w:link w:val="675"/>
    <w:uiPriority w:val="9"/>
    <w:rPr>
      <w:rFonts w:ascii="Arial" w:hAnsi="Arial" w:eastAsia="Arial" w:cs="Arial"/>
      <w:sz w:val="34"/>
    </w:rPr>
  </w:style>
  <w:style w:type="character" w:styleId="688" w:customStyle="1">
    <w:name w:val="Заголовок 3 Знак"/>
    <w:basedOn w:val="683"/>
    <w:link w:val="676"/>
    <w:uiPriority w:val="9"/>
    <w:rPr>
      <w:rFonts w:ascii="Arial" w:hAnsi="Arial" w:eastAsia="Arial" w:cs="Arial"/>
      <w:sz w:val="30"/>
      <w:szCs w:val="30"/>
    </w:rPr>
  </w:style>
  <w:style w:type="character" w:styleId="689" w:customStyle="1">
    <w:name w:val="Заголовок 4 Знак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90" w:customStyle="1">
    <w:name w:val="Заголовок 5 Знак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91" w:customStyle="1">
    <w:name w:val="Заголовок 6 Знак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92" w:customStyle="1">
    <w:name w:val="Заголовок 7 Знак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 w:customStyle="1">
    <w:name w:val="Заголовок 8 Знак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94" w:customStyle="1">
    <w:name w:val="Заголовок 9 Знак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673"/>
    <w:uiPriority w:val="34"/>
    <w:qFormat/>
    <w:pPr>
      <w:contextualSpacing/>
      <w:ind w:left="720"/>
    </w:pPr>
  </w:style>
  <w:style w:type="paragraph" w:styleId="696">
    <w:name w:val="No Spacing"/>
    <w:uiPriority w:val="1"/>
    <w:qFormat/>
    <w:pPr>
      <w:spacing w:after="0" w:line="240" w:lineRule="auto"/>
    </w:pPr>
  </w:style>
  <w:style w:type="paragraph" w:styleId="697">
    <w:name w:val="Title"/>
    <w:basedOn w:val="673"/>
    <w:next w:val="673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 w:customStyle="1">
    <w:name w:val="Заголовок Знак"/>
    <w:basedOn w:val="683"/>
    <w:link w:val="697"/>
    <w:uiPriority w:val="10"/>
    <w:rPr>
      <w:sz w:val="48"/>
      <w:szCs w:val="48"/>
    </w:rPr>
  </w:style>
  <w:style w:type="paragraph" w:styleId="699">
    <w:name w:val="Subtitle"/>
    <w:basedOn w:val="673"/>
    <w:next w:val="673"/>
    <w:link w:val="700"/>
    <w:uiPriority w:val="11"/>
    <w:qFormat/>
    <w:pPr>
      <w:spacing w:before="200" w:after="200"/>
    </w:pPr>
    <w:rPr>
      <w:sz w:val="24"/>
      <w:szCs w:val="24"/>
    </w:rPr>
  </w:style>
  <w:style w:type="character" w:styleId="700" w:customStyle="1">
    <w:name w:val="Подзаголовок Знак"/>
    <w:basedOn w:val="683"/>
    <w:link w:val="699"/>
    <w:uiPriority w:val="11"/>
    <w:rPr>
      <w:sz w:val="24"/>
      <w:szCs w:val="24"/>
    </w:rPr>
  </w:style>
  <w:style w:type="paragraph" w:styleId="701">
    <w:name w:val="Quote"/>
    <w:basedOn w:val="673"/>
    <w:next w:val="673"/>
    <w:link w:val="702"/>
    <w:uiPriority w:val="29"/>
    <w:qFormat/>
    <w:pPr>
      <w:ind w:left="720" w:right="720"/>
    </w:pPr>
    <w:rPr>
      <w:i/>
    </w:rPr>
  </w:style>
  <w:style w:type="character" w:styleId="702" w:customStyle="1">
    <w:name w:val="Цитата 2 Знак"/>
    <w:link w:val="701"/>
    <w:uiPriority w:val="29"/>
    <w:rPr>
      <w:i/>
    </w:rPr>
  </w:style>
  <w:style w:type="paragraph" w:styleId="703">
    <w:name w:val="Intense Quote"/>
    <w:basedOn w:val="673"/>
    <w:next w:val="673"/>
    <w:link w:val="70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 w:customStyle="1">
    <w:name w:val="Выделенная цитата Знак"/>
    <w:link w:val="703"/>
    <w:uiPriority w:val="30"/>
    <w:rPr>
      <w:i/>
    </w:rPr>
  </w:style>
  <w:style w:type="paragraph" w:styleId="705">
    <w:name w:val="Header"/>
    <w:basedOn w:val="673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Верхний колонтитул Знак"/>
    <w:basedOn w:val="683"/>
    <w:link w:val="705"/>
    <w:uiPriority w:val="99"/>
  </w:style>
  <w:style w:type="paragraph" w:styleId="707">
    <w:name w:val="Footer"/>
    <w:basedOn w:val="673"/>
    <w:link w:val="71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 w:customStyle="1">
    <w:name w:val="Footer Char"/>
    <w:basedOn w:val="683"/>
    <w:uiPriority w:val="99"/>
  </w:style>
  <w:style w:type="paragraph" w:styleId="709">
    <w:name w:val="Caption"/>
    <w:basedOn w:val="673"/>
    <w:next w:val="67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10" w:customStyle="1">
    <w:name w:val="Нижний колонтитул Знак"/>
    <w:link w:val="707"/>
    <w:uiPriority w:val="99"/>
  </w:style>
  <w:style w:type="table" w:styleId="711">
    <w:name w:val="Table Grid"/>
    <w:basedOn w:val="68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2" w:customStyle="1">
    <w:name w:val="Table Grid Light"/>
    <w:basedOn w:val="6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3">
    <w:name w:val="Plain Table 1"/>
    <w:basedOn w:val="6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68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 w:customStyle="1">
    <w:name w:val="Grid Table 4 - Accent 1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1" w:customStyle="1">
    <w:name w:val="Grid Table 4 - Accent 2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2" w:customStyle="1">
    <w:name w:val="Grid Table 4 - Accent 3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3" w:customStyle="1">
    <w:name w:val="Grid Table 4 - Accent 4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4" w:customStyle="1">
    <w:name w:val="Grid Table 4 - Accent 5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5" w:customStyle="1">
    <w:name w:val="Grid Table 4 - Accent 6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6">
    <w:name w:val="Grid Table 5 Dark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3">
    <w:name w:val="Grid Table 6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4" w:customStyle="1">
    <w:name w:val="Grid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5" w:customStyle="1">
    <w:name w:val="Grid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6" w:customStyle="1">
    <w:name w:val="Grid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7" w:customStyle="1">
    <w:name w:val="Grid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8" w:customStyle="1">
    <w:name w:val="Grid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9" w:customStyle="1">
    <w:name w:val="Grid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0">
    <w:name w:val="Grid Table 7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1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2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3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4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5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6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>
    <w:name w:val="List Table 6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3" w:customStyle="1">
    <w:name w:val="List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4" w:customStyle="1">
    <w:name w:val="List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5" w:customStyle="1">
    <w:name w:val="List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6" w:customStyle="1">
    <w:name w:val="List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7" w:customStyle="1">
    <w:name w:val="List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8" w:customStyle="1">
    <w:name w:val="List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9">
    <w:name w:val="List Table 7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7" w:customStyle="1">
    <w:name w:val="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8" w:customStyle="1">
    <w:name w:val="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9" w:customStyle="1">
    <w:name w:val="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0" w:customStyle="1">
    <w:name w:val="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1" w:customStyle="1">
    <w:name w:val="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2" w:customStyle="1">
    <w:name w:val="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3" w:customStyle="1">
    <w:name w:val="Bordered &amp; 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4" w:customStyle="1">
    <w:name w:val="Bordered &amp; 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5" w:customStyle="1">
    <w:name w:val="Bordered &amp; 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6" w:customStyle="1">
    <w:name w:val="Bordered &amp; 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7" w:customStyle="1">
    <w:name w:val="Bordered &amp; 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8" w:customStyle="1">
    <w:name w:val="Bordered &amp; 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9" w:customStyle="1">
    <w:name w:val="Bordered &amp; 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0" w:customStyle="1">
    <w:name w:val="Bordered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1" w:customStyle="1">
    <w:name w:val="Bordered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2" w:customStyle="1">
    <w:name w:val="Bordered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3" w:customStyle="1">
    <w:name w:val="Bordered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4" w:customStyle="1">
    <w:name w:val="Bordered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5" w:customStyle="1">
    <w:name w:val="Bordered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6" w:customStyle="1">
    <w:name w:val="Bordered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7">
    <w:name w:val="Hyperlink"/>
    <w:uiPriority w:val="99"/>
    <w:unhideWhenUsed/>
    <w:rPr>
      <w:color w:val="0563c1" w:themeColor="hyperlink"/>
      <w:u w:val="single"/>
    </w:rPr>
  </w:style>
  <w:style w:type="paragraph" w:styleId="838">
    <w:name w:val="footnote text"/>
    <w:basedOn w:val="673"/>
    <w:link w:val="839"/>
    <w:uiPriority w:val="99"/>
    <w:semiHidden/>
    <w:unhideWhenUsed/>
    <w:pPr>
      <w:spacing w:after="40" w:line="240" w:lineRule="auto"/>
    </w:pPr>
    <w:rPr>
      <w:sz w:val="18"/>
    </w:rPr>
  </w:style>
  <w:style w:type="character" w:styleId="839" w:customStyle="1">
    <w:name w:val="Текст сноски Знак"/>
    <w:link w:val="838"/>
    <w:uiPriority w:val="99"/>
    <w:rPr>
      <w:sz w:val="18"/>
    </w:rPr>
  </w:style>
  <w:style w:type="character" w:styleId="840">
    <w:name w:val="footnote reference"/>
    <w:basedOn w:val="683"/>
    <w:uiPriority w:val="99"/>
    <w:unhideWhenUsed/>
    <w:rPr>
      <w:vertAlign w:val="superscript"/>
    </w:rPr>
  </w:style>
  <w:style w:type="paragraph" w:styleId="841">
    <w:name w:val="endnote text"/>
    <w:basedOn w:val="673"/>
    <w:link w:val="842"/>
    <w:uiPriority w:val="99"/>
    <w:semiHidden/>
    <w:unhideWhenUsed/>
    <w:pPr>
      <w:spacing w:after="0" w:line="240" w:lineRule="auto"/>
    </w:pPr>
    <w:rPr>
      <w:sz w:val="20"/>
    </w:rPr>
  </w:style>
  <w:style w:type="character" w:styleId="842" w:customStyle="1">
    <w:name w:val="Текст концевой сноски Знак"/>
    <w:link w:val="841"/>
    <w:uiPriority w:val="99"/>
    <w:rPr>
      <w:sz w:val="20"/>
    </w:rPr>
  </w:style>
  <w:style w:type="character" w:styleId="843">
    <w:name w:val="endnote reference"/>
    <w:basedOn w:val="683"/>
    <w:uiPriority w:val="99"/>
    <w:semiHidden/>
    <w:unhideWhenUsed/>
    <w:rPr>
      <w:vertAlign w:val="superscript"/>
    </w:rPr>
  </w:style>
  <w:style w:type="paragraph" w:styleId="844">
    <w:name w:val="toc 1"/>
    <w:basedOn w:val="673"/>
    <w:next w:val="673"/>
    <w:uiPriority w:val="39"/>
    <w:unhideWhenUsed/>
    <w:pPr>
      <w:spacing w:after="57"/>
    </w:pPr>
  </w:style>
  <w:style w:type="paragraph" w:styleId="845">
    <w:name w:val="toc 2"/>
    <w:basedOn w:val="673"/>
    <w:next w:val="673"/>
    <w:uiPriority w:val="39"/>
    <w:unhideWhenUsed/>
    <w:pPr>
      <w:ind w:left="283"/>
      <w:spacing w:after="57"/>
    </w:pPr>
  </w:style>
  <w:style w:type="paragraph" w:styleId="846">
    <w:name w:val="toc 3"/>
    <w:basedOn w:val="673"/>
    <w:next w:val="673"/>
    <w:uiPriority w:val="39"/>
    <w:unhideWhenUsed/>
    <w:pPr>
      <w:ind w:left="567"/>
      <w:spacing w:after="57"/>
    </w:pPr>
  </w:style>
  <w:style w:type="paragraph" w:styleId="847">
    <w:name w:val="toc 4"/>
    <w:basedOn w:val="673"/>
    <w:next w:val="673"/>
    <w:uiPriority w:val="39"/>
    <w:unhideWhenUsed/>
    <w:pPr>
      <w:ind w:left="850"/>
      <w:spacing w:after="57"/>
    </w:pPr>
  </w:style>
  <w:style w:type="paragraph" w:styleId="848">
    <w:name w:val="toc 5"/>
    <w:basedOn w:val="673"/>
    <w:next w:val="673"/>
    <w:uiPriority w:val="39"/>
    <w:unhideWhenUsed/>
    <w:pPr>
      <w:ind w:left="1134"/>
      <w:spacing w:after="57"/>
    </w:pPr>
  </w:style>
  <w:style w:type="paragraph" w:styleId="849">
    <w:name w:val="toc 6"/>
    <w:basedOn w:val="673"/>
    <w:next w:val="673"/>
    <w:uiPriority w:val="39"/>
    <w:unhideWhenUsed/>
    <w:pPr>
      <w:ind w:left="1417"/>
      <w:spacing w:after="57"/>
    </w:pPr>
  </w:style>
  <w:style w:type="paragraph" w:styleId="850">
    <w:name w:val="toc 7"/>
    <w:basedOn w:val="673"/>
    <w:next w:val="673"/>
    <w:uiPriority w:val="39"/>
    <w:unhideWhenUsed/>
    <w:pPr>
      <w:ind w:left="1701"/>
      <w:spacing w:after="57"/>
    </w:pPr>
  </w:style>
  <w:style w:type="paragraph" w:styleId="851">
    <w:name w:val="toc 8"/>
    <w:basedOn w:val="673"/>
    <w:next w:val="673"/>
    <w:uiPriority w:val="39"/>
    <w:unhideWhenUsed/>
    <w:pPr>
      <w:ind w:left="1984"/>
      <w:spacing w:after="57"/>
    </w:pPr>
  </w:style>
  <w:style w:type="paragraph" w:styleId="852">
    <w:name w:val="toc 9"/>
    <w:basedOn w:val="673"/>
    <w:next w:val="673"/>
    <w:uiPriority w:val="39"/>
    <w:unhideWhenUsed/>
    <w:pPr>
      <w:ind w:left="2268"/>
      <w:spacing w:after="57"/>
    </w:pPr>
  </w:style>
  <w:style w:type="paragraph" w:styleId="853">
    <w:name w:val="TOC Heading"/>
    <w:uiPriority w:val="39"/>
    <w:unhideWhenUsed/>
  </w:style>
  <w:style w:type="paragraph" w:styleId="854">
    <w:name w:val="table of figures"/>
    <w:basedOn w:val="673"/>
    <w:next w:val="673"/>
    <w:uiPriority w:val="99"/>
    <w:unhideWhenUsed/>
    <w:pPr>
      <w:spacing w:after="0"/>
    </w:pPr>
  </w:style>
  <w:style w:type="paragraph" w:styleId="855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56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857">
    <w:name w:val="Balloon Text"/>
    <w:basedOn w:val="673"/>
    <w:link w:val="85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8" w:customStyle="1">
    <w:name w:val="Текст выноски Знак"/>
    <w:basedOn w:val="683"/>
    <w:link w:val="85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consultantplus://offline/ref=EC0E6653E6927E56FB1722D7000EDD0FCFAA0BA4919D30673D3F15E337E641E2FAF4DD614837C8F0g3w3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F1ED9-2D7B-4A4D-BB4C-DD89173B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Поддуева Ирина Сергеевна</dc:creator>
  <cp:keywords/>
  <dc:description/>
  <cp:revision>326</cp:revision>
  <dcterms:created xsi:type="dcterms:W3CDTF">2020-02-12T05:07:00Z</dcterms:created>
  <dcterms:modified xsi:type="dcterms:W3CDTF">2024-03-25T05:18:33Z</dcterms:modified>
</cp:coreProperties>
</file>