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44" w:rsidRPr="00F25DBB" w:rsidRDefault="00840A57">
      <w:pPr>
        <w:spacing w:after="711" w:line="216" w:lineRule="auto"/>
        <w:ind w:left="194" w:right="158" w:firstLine="692"/>
        <w:jc w:val="center"/>
        <w:rPr>
          <w:b/>
        </w:rPr>
      </w:pPr>
      <w:r w:rsidRPr="00F25DBB">
        <w:rPr>
          <w:b/>
          <w:sz w:val="30"/>
        </w:rPr>
        <w:t xml:space="preserve">Информационно-статистический обзор о количестве и тематике обращений граждан, объединений граждан, в том числе юридических лиц, поступивших в адрес </w:t>
      </w:r>
      <w:r w:rsidR="008F497A" w:rsidRPr="00F25DBB">
        <w:rPr>
          <w:b/>
          <w:sz w:val="30"/>
        </w:rPr>
        <w:t>министерства сельского хозяйства</w:t>
      </w:r>
      <w:r w:rsidRPr="00F25DBB">
        <w:rPr>
          <w:b/>
          <w:sz w:val="30"/>
        </w:rPr>
        <w:t xml:space="preserve"> Новосибирской области в апреле 2022 года, </w:t>
      </w:r>
      <w:r w:rsidRPr="00F25DBB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DBB">
        <w:rPr>
          <w:b/>
          <w:sz w:val="30"/>
        </w:rPr>
        <w:t>а также результатах рассмотрения обращений и принятых мерах</w:t>
      </w:r>
      <w:r w:rsidR="008F497A" w:rsidRPr="00F25DBB">
        <w:rPr>
          <w:b/>
          <w:sz w:val="30"/>
        </w:rPr>
        <w:t>.</w:t>
      </w:r>
    </w:p>
    <w:p w:rsidR="004C3044" w:rsidRDefault="00840A57">
      <w:pPr>
        <w:ind w:left="14" w:right="14"/>
      </w:pPr>
      <w:r>
        <w:t xml:space="preserve">Рассмотрение письменных и устных обращений, сообщений и запросов граждан, объединений граждан, в том числе юридических лиц, поступивших в адрес </w:t>
      </w:r>
      <w:r w:rsidR="008F497A">
        <w:t xml:space="preserve">министерства сельского хозяйства </w:t>
      </w:r>
      <w:r>
        <w:t>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</w:t>
      </w:r>
    </w:p>
    <w:p w:rsidR="004C3044" w:rsidRDefault="00840A57">
      <w:pPr>
        <w:ind w:left="14" w:right="14"/>
      </w:pPr>
      <w:r>
        <w:t xml:space="preserve">В апреле 2022 года в адрес </w:t>
      </w:r>
      <w:r w:rsidR="008F497A">
        <w:t xml:space="preserve">министерства сельского хозяйства </w:t>
      </w:r>
      <w:r>
        <w:t xml:space="preserve">Новосибирской области </w:t>
      </w:r>
      <w:r w:rsidR="008F497A">
        <w:t>поступило 37</w:t>
      </w:r>
      <w:r>
        <w:t xml:space="preserve"> обращений, запросов информации и сообщений</w:t>
      </w:r>
      <w:r w:rsidR="008F497A">
        <w:t>, в т. ч. 12 из общественной приемной Губернатора области (в марте 2022 года - 39</w:t>
      </w:r>
      <w:r>
        <w:t>, в апреле 2</w:t>
      </w:r>
      <w:r w:rsidR="00E009F9">
        <w:t>021 года - 34</w:t>
      </w:r>
      <w:r>
        <w:t>), в том числе:</w:t>
      </w:r>
    </w:p>
    <w:p w:rsidR="004C3044" w:rsidRDefault="00840A57">
      <w:pPr>
        <w:numPr>
          <w:ilvl w:val="0"/>
          <w:numId w:val="1"/>
        </w:numPr>
        <w:ind w:right="14"/>
      </w:pPr>
      <w:r>
        <w:t>письме</w:t>
      </w:r>
      <w:r w:rsidR="008F497A">
        <w:t>нных обращений и запросов - 21</w:t>
      </w:r>
      <w:r w:rsidR="0045485B">
        <w:t xml:space="preserve"> (в марте 2022 года - 20, в апреле 2021 года - 34</w:t>
      </w:r>
      <w:r>
        <w:t>);</w:t>
      </w:r>
    </w:p>
    <w:p w:rsidR="004C3044" w:rsidRDefault="00840A57">
      <w:pPr>
        <w:numPr>
          <w:ilvl w:val="0"/>
          <w:numId w:val="1"/>
        </w:numPr>
        <w:ind w:right="14"/>
      </w:pPr>
      <w:r>
        <w:t xml:space="preserve">личных обращений к специалистам </w:t>
      </w:r>
      <w:r w:rsidR="0045485B">
        <w:t xml:space="preserve">министерства </w:t>
      </w:r>
      <w:r w:rsidR="00F25DBB">
        <w:t>сельского хозяйства области - 10</w:t>
      </w:r>
      <w:r w:rsidR="0045485B">
        <w:t xml:space="preserve"> (в марте 2022 года - 1, в апреле 2021 года - 8</w:t>
      </w:r>
      <w:r>
        <w:t>);</w:t>
      </w:r>
    </w:p>
    <w:p w:rsidR="004C3044" w:rsidRDefault="00840A57">
      <w:pPr>
        <w:numPr>
          <w:ilvl w:val="0"/>
          <w:numId w:val="1"/>
        </w:numPr>
        <w:spacing w:after="283"/>
        <w:ind w:right="14"/>
      </w:pPr>
      <w:r>
        <w:t xml:space="preserve">устных обращений на личных приемах </w:t>
      </w:r>
      <w:r w:rsidR="0045485B">
        <w:t>министерства сельского хозяйства</w:t>
      </w:r>
      <w:r w:rsidR="00577B86">
        <w:t xml:space="preserve"> Новосибирской области-</w:t>
      </w:r>
      <w:r>
        <w:t xml:space="preserve"> 6 (в марте 2022 года</w:t>
      </w:r>
      <w:r w:rsidR="0045485B">
        <w:t xml:space="preserve"> </w:t>
      </w:r>
      <w:r w:rsidR="00577B86" w:rsidRPr="00577B86">
        <w:t>-</w:t>
      </w:r>
      <w:r w:rsidR="0045485B">
        <w:t>28</w:t>
      </w:r>
      <w:r>
        <w:t xml:space="preserve"> в апреле 202</w:t>
      </w:r>
      <w:r w:rsidR="0045485B">
        <w:t>1 года - 10</w:t>
      </w:r>
      <w:r>
        <w:t>).</w:t>
      </w:r>
    </w:p>
    <w:p w:rsidR="001E72B5" w:rsidRDefault="001E72B5" w:rsidP="001E72B5">
      <w:pPr>
        <w:spacing w:after="283"/>
        <w:ind w:right="14"/>
      </w:pPr>
      <w:r>
        <w:rPr>
          <w:noProof/>
        </w:rPr>
        <w:drawing>
          <wp:inline distT="0" distB="0" distL="0" distR="0">
            <wp:extent cx="4848225" cy="253619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698B" w:rsidRDefault="000B698B">
      <w:pPr>
        <w:ind w:left="14" w:right="14"/>
        <w:rPr>
          <w:b/>
        </w:rPr>
      </w:pPr>
    </w:p>
    <w:p w:rsidR="00265076" w:rsidRDefault="00265076">
      <w:pPr>
        <w:ind w:left="14" w:right="14"/>
        <w:rPr>
          <w:b/>
        </w:rPr>
      </w:pPr>
    </w:p>
    <w:p w:rsidR="00265076" w:rsidRDefault="00265076">
      <w:pPr>
        <w:ind w:left="14" w:right="14"/>
        <w:rPr>
          <w:b/>
        </w:rPr>
      </w:pPr>
    </w:p>
    <w:p w:rsidR="00265076" w:rsidRDefault="00265076">
      <w:pPr>
        <w:ind w:left="14" w:right="14"/>
        <w:rPr>
          <w:b/>
        </w:rPr>
      </w:pPr>
    </w:p>
    <w:p w:rsidR="00265076" w:rsidRDefault="00265076">
      <w:pPr>
        <w:ind w:left="14" w:right="14"/>
        <w:rPr>
          <w:b/>
        </w:rPr>
      </w:pPr>
    </w:p>
    <w:p w:rsidR="00265076" w:rsidRDefault="00265076">
      <w:pPr>
        <w:ind w:left="14" w:right="14"/>
        <w:rPr>
          <w:b/>
        </w:rPr>
      </w:pPr>
    </w:p>
    <w:p w:rsidR="00265076" w:rsidRDefault="00265076">
      <w:pPr>
        <w:ind w:left="14" w:right="14"/>
        <w:rPr>
          <w:b/>
        </w:rPr>
      </w:pPr>
    </w:p>
    <w:p w:rsidR="000B698B" w:rsidRDefault="000B698B">
      <w:pPr>
        <w:ind w:left="14" w:right="14"/>
      </w:pPr>
      <w:r w:rsidRPr="00FC4CAF">
        <w:rPr>
          <w:b/>
        </w:rPr>
        <w:t>Динамика роста/снижения количества обращений, поступивших в адрес министерства сельского хозяйства Новосибирской области</w:t>
      </w:r>
    </w:p>
    <w:p w:rsidR="004C3044" w:rsidRDefault="000B698B">
      <w:pPr>
        <w:spacing w:after="0" w:line="260" w:lineRule="auto"/>
        <w:ind w:left="10" w:right="22" w:hanging="10"/>
        <w:jc w:val="center"/>
      </w:pPr>
      <w:r w:rsidRPr="00FC4CAF">
        <w:rPr>
          <w:noProof/>
        </w:rPr>
        <w:drawing>
          <wp:inline distT="0" distB="0" distL="0" distR="0">
            <wp:extent cx="5374005" cy="239839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5076" w:rsidRDefault="00265076" w:rsidP="00265076">
      <w:pPr>
        <w:ind w:left="14" w:right="14"/>
      </w:pPr>
      <w:r>
        <w:t xml:space="preserve">По сравнению с мартом 2022 года общее количество обращений, запросов информации и сообщений уменьшилось 6 % (на 2 обращения), по сравнению </w:t>
      </w:r>
      <w:r>
        <w:rPr>
          <w:noProof/>
        </w:rPr>
        <w:drawing>
          <wp:inline distT="0" distB="0" distL="0" distR="0" wp14:anchorId="5B6DFE05" wp14:editId="25B6F011">
            <wp:extent cx="4574" cy="4574"/>
            <wp:effectExtent l="0" t="0" r="0" b="0"/>
            <wp:docPr id="1647" name="Picture 1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Picture 16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 апрелем 2021 года увеличилось на 6 % (на 2 обращения).</w:t>
      </w:r>
    </w:p>
    <w:p w:rsidR="00840A57" w:rsidRDefault="00840A57">
      <w:pPr>
        <w:spacing w:after="0" w:line="260" w:lineRule="auto"/>
        <w:ind w:left="10" w:right="22" w:hanging="10"/>
        <w:jc w:val="center"/>
      </w:pPr>
    </w:p>
    <w:p w:rsidR="00840A57" w:rsidRDefault="00840A57">
      <w:pPr>
        <w:spacing w:after="0" w:line="260" w:lineRule="auto"/>
        <w:ind w:left="10" w:right="22" w:hanging="10"/>
        <w:jc w:val="center"/>
      </w:pPr>
    </w:p>
    <w:p w:rsidR="004C3044" w:rsidRDefault="00840A57">
      <w:pPr>
        <w:spacing w:after="91"/>
        <w:ind w:left="14" w:right="14"/>
      </w:pPr>
      <w:r>
        <w:t>Наибольшее количество обращений, запросов и сообщений поступило от жителей</w:t>
      </w:r>
      <w:r w:rsidR="00352F96">
        <w:t xml:space="preserve"> Новосибирской области</w:t>
      </w:r>
      <w:r w:rsidR="00906B7B">
        <w:t xml:space="preserve"> –</w:t>
      </w:r>
      <w:r w:rsidR="000C1339">
        <w:t xml:space="preserve"> 34</w:t>
      </w:r>
      <w:r w:rsidR="000B4BBF">
        <w:t xml:space="preserve"> (от </w:t>
      </w:r>
      <w:r w:rsidR="000C1339">
        <w:t>общего количества 37</w:t>
      </w:r>
      <w:r w:rsidR="000B4BBF">
        <w:t xml:space="preserve">) </w:t>
      </w:r>
      <w:r w:rsidR="00906B7B">
        <w:t>:</w:t>
      </w:r>
      <w:r w:rsidR="000B4BBF">
        <w:t xml:space="preserve"> Новосибирского, Череп</w:t>
      </w:r>
      <w:r>
        <w:t>а</w:t>
      </w:r>
      <w:r w:rsidR="000B4BBF">
        <w:t xml:space="preserve">новского, Каргатского, Маслянинского, Купинского районов; а так же поступили обращения из других регионов: Алтайского края, Воронежской области и Рязанской области </w:t>
      </w:r>
      <w:r>
        <w:t>.</w:t>
      </w:r>
    </w:p>
    <w:p w:rsidR="00E40474" w:rsidRDefault="00990DDF" w:rsidP="00F25DBB">
      <w:pPr>
        <w:spacing w:after="40"/>
        <w:ind w:left="360" w:right="14" w:firstLine="0"/>
      </w:pPr>
      <w:r>
        <w:t>Основные вопросы в</w:t>
      </w:r>
      <w:r w:rsidR="00840A57">
        <w:t xml:space="preserve"> обращениях</w:t>
      </w:r>
      <w:r w:rsidR="000B4BBF">
        <w:t xml:space="preserve"> граждан</w:t>
      </w:r>
      <w:r>
        <w:t xml:space="preserve"> содержат вопросы предоставления субсидий и выдачи гранта для ведения сельскохозяйственной деятельности  (</w:t>
      </w:r>
      <w:r w:rsidR="00E40474">
        <w:t>24</w:t>
      </w:r>
      <w:r>
        <w:t xml:space="preserve"> обращений)</w:t>
      </w:r>
      <w:r w:rsidR="00840A57">
        <w:t>,</w:t>
      </w:r>
      <w:r w:rsidR="000C1339">
        <w:t xml:space="preserve"> о выделении земельных участков под посадку картофеля</w:t>
      </w:r>
    </w:p>
    <w:p w:rsidR="004C3044" w:rsidRDefault="000C1339" w:rsidP="00F25DBB">
      <w:pPr>
        <w:spacing w:after="40"/>
        <w:ind w:left="360" w:right="14" w:firstLine="0"/>
      </w:pPr>
      <w:r>
        <w:t xml:space="preserve"> (</w:t>
      </w:r>
      <w:r w:rsidR="00E40474">
        <w:t>10</w:t>
      </w:r>
      <w:bookmarkStart w:id="0" w:name="_GoBack"/>
      <w:bookmarkEnd w:id="0"/>
      <w:r>
        <w:t xml:space="preserve"> об</w:t>
      </w:r>
      <w:r w:rsidR="00E40474">
        <w:t>ращений</w:t>
      </w:r>
      <w:r>
        <w:t>).</w:t>
      </w:r>
    </w:p>
    <w:p w:rsidR="004C3044" w:rsidRDefault="004C3044"/>
    <w:p w:rsidR="000C1339" w:rsidRPr="00332290" w:rsidRDefault="000C1339" w:rsidP="000C1339">
      <w:pPr>
        <w:ind w:firstLine="709"/>
        <w:rPr>
          <w:b/>
          <w:shd w:val="clear" w:color="auto" w:fill="FFFFFF"/>
        </w:rPr>
      </w:pPr>
      <w:r w:rsidRPr="00332290">
        <w:rPr>
          <w:b/>
          <w:shd w:val="clear" w:color="auto" w:fill="FFFFFF"/>
        </w:rPr>
        <w:t>Рассмотрение письменных обращений</w:t>
      </w:r>
    </w:p>
    <w:p w:rsidR="000C1339" w:rsidRPr="00332290" w:rsidRDefault="000C1339" w:rsidP="000C1339">
      <w:pPr>
        <w:ind w:firstLine="709"/>
        <w:rPr>
          <w:b/>
          <w:shd w:val="clear" w:color="auto" w:fill="FFFFFF"/>
        </w:rPr>
      </w:pPr>
    </w:p>
    <w:p w:rsidR="000C1339" w:rsidRPr="00332290" w:rsidRDefault="000C1339" w:rsidP="000C1339">
      <w:pPr>
        <w:ind w:firstLine="709"/>
        <w:rPr>
          <w:shd w:val="clear" w:color="auto" w:fill="FFFFFF"/>
        </w:rPr>
      </w:pPr>
      <w:r w:rsidRPr="00332290">
        <w:rPr>
          <w:shd w:val="clear" w:color="auto" w:fill="FFFFFF"/>
        </w:rPr>
        <w:t>В</w:t>
      </w:r>
      <w:r>
        <w:rPr>
          <w:shd w:val="clear" w:color="auto" w:fill="FFFFFF"/>
        </w:rPr>
        <w:t xml:space="preserve"> апреле </w:t>
      </w:r>
      <w:r w:rsidRPr="00332290">
        <w:rPr>
          <w:shd w:val="clear" w:color="auto" w:fill="FFFFFF"/>
        </w:rPr>
        <w:t>20</w:t>
      </w:r>
      <w:r>
        <w:rPr>
          <w:shd w:val="clear" w:color="auto" w:fill="FFFFFF"/>
        </w:rPr>
        <w:t xml:space="preserve">22 года поступило </w:t>
      </w:r>
      <w:r w:rsidR="00E40474">
        <w:rPr>
          <w:shd w:val="clear" w:color="auto" w:fill="FFFFFF"/>
        </w:rPr>
        <w:t>21</w:t>
      </w:r>
      <w:r>
        <w:rPr>
          <w:shd w:val="clear" w:color="auto" w:fill="FFFFFF"/>
        </w:rPr>
        <w:t xml:space="preserve"> письменных обращений</w:t>
      </w:r>
      <w:r w:rsidRPr="00332290">
        <w:rPr>
          <w:shd w:val="clear" w:color="auto" w:fill="FFFFFF"/>
        </w:rPr>
        <w:t>, в том числе в ф</w:t>
      </w:r>
      <w:r>
        <w:rPr>
          <w:shd w:val="clear" w:color="auto" w:fill="FFFFFF"/>
        </w:rPr>
        <w:t xml:space="preserve">орме электронного документа – </w:t>
      </w:r>
      <w:r w:rsidR="00E40474">
        <w:rPr>
          <w:shd w:val="clear" w:color="auto" w:fill="FFFFFF"/>
        </w:rPr>
        <w:t>19</w:t>
      </w:r>
      <w:r>
        <w:rPr>
          <w:shd w:val="clear" w:color="auto" w:fill="FFFFFF"/>
        </w:rPr>
        <w:t xml:space="preserve"> (</w:t>
      </w:r>
      <w:r w:rsidR="006D29F2">
        <w:rPr>
          <w:shd w:val="clear" w:color="auto" w:fill="FFFFFF"/>
        </w:rPr>
        <w:t xml:space="preserve">90 </w:t>
      </w:r>
      <w:r w:rsidRPr="00332290">
        <w:rPr>
          <w:shd w:val="clear" w:color="auto" w:fill="FFFFFF"/>
        </w:rPr>
        <w:t>%) (</w:t>
      </w:r>
      <w:r w:rsidRPr="00332290">
        <w:rPr>
          <w:i/>
          <w:shd w:val="clear" w:color="auto" w:fill="FFFFFF"/>
        </w:rPr>
        <w:t xml:space="preserve">в </w:t>
      </w:r>
      <w:r w:rsidR="00E40474">
        <w:rPr>
          <w:i/>
          <w:shd w:val="clear" w:color="auto" w:fill="FFFFFF"/>
        </w:rPr>
        <w:t xml:space="preserve">марте </w:t>
      </w:r>
      <w:r>
        <w:rPr>
          <w:i/>
          <w:shd w:val="clear" w:color="auto" w:fill="FFFFFF"/>
        </w:rPr>
        <w:t xml:space="preserve"> 20</w:t>
      </w:r>
      <w:r w:rsidR="00E40474">
        <w:rPr>
          <w:i/>
          <w:shd w:val="clear" w:color="auto" w:fill="FFFFFF"/>
        </w:rPr>
        <w:t>22</w:t>
      </w:r>
      <w:r>
        <w:rPr>
          <w:i/>
          <w:shd w:val="clear" w:color="auto" w:fill="FFFFFF"/>
        </w:rPr>
        <w:t xml:space="preserve"> </w:t>
      </w:r>
      <w:r w:rsidRPr="00332290">
        <w:rPr>
          <w:i/>
          <w:shd w:val="clear" w:color="auto" w:fill="FFFFFF"/>
        </w:rPr>
        <w:t xml:space="preserve">года </w:t>
      </w:r>
      <w:r w:rsidR="00E009F9">
        <w:rPr>
          <w:i/>
          <w:shd w:val="clear" w:color="auto" w:fill="FFFFFF"/>
        </w:rPr>
        <w:t>20</w:t>
      </w:r>
      <w:r w:rsidRPr="00332290">
        <w:rPr>
          <w:i/>
          <w:shd w:val="clear" w:color="auto" w:fill="FFFFFF"/>
        </w:rPr>
        <w:t xml:space="preserve">, в том числе в форме электронного документа </w:t>
      </w:r>
      <w:r>
        <w:rPr>
          <w:i/>
          <w:shd w:val="clear" w:color="auto" w:fill="FFFFFF"/>
        </w:rPr>
        <w:t xml:space="preserve">- </w:t>
      </w:r>
      <w:r w:rsidR="00E009F9">
        <w:rPr>
          <w:i/>
          <w:shd w:val="clear" w:color="auto" w:fill="FFFFFF"/>
        </w:rPr>
        <w:t>18</w:t>
      </w:r>
      <w:r>
        <w:rPr>
          <w:i/>
          <w:shd w:val="clear" w:color="auto" w:fill="FFFFFF"/>
        </w:rPr>
        <w:t>(</w:t>
      </w:r>
      <w:r w:rsidR="006D29F2">
        <w:rPr>
          <w:i/>
          <w:shd w:val="clear" w:color="auto" w:fill="FFFFFF"/>
        </w:rPr>
        <w:t xml:space="preserve">90 </w:t>
      </w:r>
      <w:r w:rsidRPr="00332290">
        <w:rPr>
          <w:i/>
          <w:shd w:val="clear" w:color="auto" w:fill="FFFFFF"/>
        </w:rPr>
        <w:t>%</w:t>
      </w:r>
      <w:r w:rsidRPr="00332290">
        <w:rPr>
          <w:shd w:val="clear" w:color="auto" w:fill="FFFFFF"/>
        </w:rPr>
        <w:t xml:space="preserve">), </w:t>
      </w:r>
      <w:r>
        <w:rPr>
          <w:i/>
          <w:shd w:val="clear" w:color="auto" w:fill="FFFFFF"/>
        </w:rPr>
        <w:t xml:space="preserve">в </w:t>
      </w:r>
      <w:r w:rsidR="00E009F9">
        <w:rPr>
          <w:i/>
          <w:shd w:val="clear" w:color="auto" w:fill="FFFFFF"/>
        </w:rPr>
        <w:t>апреле</w:t>
      </w:r>
      <w:r>
        <w:rPr>
          <w:i/>
          <w:shd w:val="clear" w:color="auto" w:fill="FFFFFF"/>
        </w:rPr>
        <w:t xml:space="preserve"> </w:t>
      </w:r>
      <w:r w:rsidR="00E009F9">
        <w:rPr>
          <w:i/>
          <w:shd w:val="clear" w:color="auto" w:fill="FFFFFF"/>
        </w:rPr>
        <w:t>2021</w:t>
      </w:r>
      <w:r w:rsidRPr="00332290">
        <w:rPr>
          <w:i/>
          <w:shd w:val="clear" w:color="auto" w:fill="FFFFFF"/>
        </w:rPr>
        <w:t xml:space="preserve"> года </w:t>
      </w:r>
      <w:r w:rsidR="00E009F9">
        <w:rPr>
          <w:i/>
          <w:shd w:val="clear" w:color="auto" w:fill="FFFFFF"/>
        </w:rPr>
        <w:t xml:space="preserve">34, </w:t>
      </w:r>
      <w:r w:rsidRPr="00332290">
        <w:rPr>
          <w:i/>
          <w:shd w:val="clear" w:color="auto" w:fill="FFFFFF"/>
        </w:rPr>
        <w:t xml:space="preserve">в том числе в форме электронного документа – </w:t>
      </w:r>
      <w:r w:rsidR="00E009F9">
        <w:rPr>
          <w:i/>
          <w:shd w:val="clear" w:color="auto" w:fill="FFFFFF"/>
        </w:rPr>
        <w:t>25</w:t>
      </w:r>
      <w:r w:rsidRPr="00332290">
        <w:rPr>
          <w:i/>
          <w:shd w:val="clear" w:color="auto" w:fill="FFFFFF"/>
        </w:rPr>
        <w:t xml:space="preserve"> </w:t>
      </w:r>
      <w:r w:rsidR="00E009F9">
        <w:rPr>
          <w:i/>
          <w:shd w:val="clear" w:color="auto" w:fill="FFFFFF"/>
        </w:rPr>
        <w:t>(</w:t>
      </w:r>
      <w:r w:rsidR="006D29F2">
        <w:rPr>
          <w:i/>
          <w:shd w:val="clear" w:color="auto" w:fill="FFFFFF"/>
        </w:rPr>
        <w:t>73</w:t>
      </w:r>
      <w:r w:rsidRPr="00332290">
        <w:rPr>
          <w:i/>
          <w:shd w:val="clear" w:color="auto" w:fill="FFFFFF"/>
        </w:rPr>
        <w:t>%</w:t>
      </w:r>
      <w:r w:rsidRPr="00332290">
        <w:rPr>
          <w:shd w:val="clear" w:color="auto" w:fill="FFFFFF"/>
        </w:rPr>
        <w:t>)).</w:t>
      </w:r>
    </w:p>
    <w:p w:rsidR="000C1339" w:rsidRDefault="000C1339" w:rsidP="000C1339">
      <w:pPr>
        <w:ind w:firstLine="709"/>
        <w:rPr>
          <w:shd w:val="clear" w:color="auto" w:fill="FFFFFF"/>
        </w:rPr>
      </w:pPr>
      <w:r w:rsidRPr="00332290">
        <w:rPr>
          <w:shd w:val="clear" w:color="auto" w:fill="FFFFFF"/>
        </w:rPr>
        <w:t>По сравнению с</w:t>
      </w:r>
      <w:r>
        <w:rPr>
          <w:shd w:val="clear" w:color="auto" w:fill="FFFFFF"/>
        </w:rPr>
        <w:t xml:space="preserve"> </w:t>
      </w:r>
      <w:r w:rsidR="006D29F2">
        <w:rPr>
          <w:shd w:val="clear" w:color="auto" w:fill="FFFFFF"/>
        </w:rPr>
        <w:t>мартом</w:t>
      </w:r>
      <w:r>
        <w:rPr>
          <w:shd w:val="clear" w:color="auto" w:fill="FFFFFF"/>
        </w:rPr>
        <w:t xml:space="preserve"> 20</w:t>
      </w:r>
      <w:r w:rsidR="006D29F2">
        <w:rPr>
          <w:shd w:val="clear" w:color="auto" w:fill="FFFFFF"/>
        </w:rPr>
        <w:t>22</w:t>
      </w:r>
      <w:r w:rsidRPr="00332290">
        <w:rPr>
          <w:shd w:val="clear" w:color="auto" w:fill="FFFFFF"/>
        </w:rPr>
        <w:t xml:space="preserve"> года количество письменных обращений </w:t>
      </w:r>
      <w:r w:rsidR="006D29F2">
        <w:rPr>
          <w:shd w:val="clear" w:color="auto" w:fill="FFFFFF"/>
        </w:rPr>
        <w:t xml:space="preserve">практически не изменилось, </w:t>
      </w:r>
      <w:r w:rsidRPr="006D29F2">
        <w:rPr>
          <w:shd w:val="clear" w:color="auto" w:fill="FFFFFF"/>
        </w:rPr>
        <w:t>уменьшилось</w:t>
      </w:r>
      <w:r w:rsidR="006D29F2">
        <w:rPr>
          <w:b/>
          <w:shd w:val="clear" w:color="auto" w:fill="FFFFFF"/>
        </w:rPr>
        <w:t xml:space="preserve"> </w:t>
      </w:r>
      <w:r w:rsidR="006D29F2">
        <w:rPr>
          <w:shd w:val="clear" w:color="auto" w:fill="FFFFFF"/>
        </w:rPr>
        <w:t>на одно</w:t>
      </w:r>
      <w:r w:rsidRPr="00332290">
        <w:rPr>
          <w:shd w:val="clear" w:color="auto" w:fill="FFFFFF"/>
        </w:rPr>
        <w:t xml:space="preserve"> обращени</w:t>
      </w:r>
      <w:r w:rsidR="006D29F2">
        <w:rPr>
          <w:shd w:val="clear" w:color="auto" w:fill="FFFFFF"/>
        </w:rPr>
        <w:t>е</w:t>
      </w:r>
      <w:r w:rsidRPr="00332290">
        <w:rPr>
          <w:shd w:val="clear" w:color="auto" w:fill="FFFFFF"/>
        </w:rPr>
        <w:t xml:space="preserve">, </w:t>
      </w:r>
      <w:r w:rsidR="006D29F2">
        <w:rPr>
          <w:shd w:val="clear" w:color="auto" w:fill="FFFFFF"/>
        </w:rPr>
        <w:t xml:space="preserve">а </w:t>
      </w:r>
      <w:r w:rsidRPr="00332290">
        <w:rPr>
          <w:shd w:val="clear" w:color="auto" w:fill="FFFFFF"/>
        </w:rPr>
        <w:t xml:space="preserve">по сравнению </w:t>
      </w:r>
      <w:r w:rsidR="006D29F2">
        <w:rPr>
          <w:shd w:val="clear" w:color="auto" w:fill="FFFFFF"/>
        </w:rPr>
        <w:t>с апрелем</w:t>
      </w:r>
      <w:r>
        <w:rPr>
          <w:shd w:val="clear" w:color="auto" w:fill="FFFFFF"/>
        </w:rPr>
        <w:t xml:space="preserve"> 20</w:t>
      </w:r>
      <w:r w:rsidR="006D29F2">
        <w:rPr>
          <w:shd w:val="clear" w:color="auto" w:fill="FFFFFF"/>
        </w:rPr>
        <w:t>21</w:t>
      </w:r>
      <w:r w:rsidRPr="00332290">
        <w:rPr>
          <w:shd w:val="clear" w:color="auto" w:fill="FFFFFF"/>
        </w:rPr>
        <w:t xml:space="preserve"> года количество письменных обращений </w:t>
      </w:r>
      <w:r w:rsidRPr="000426F1">
        <w:rPr>
          <w:b/>
          <w:shd w:val="clear" w:color="auto" w:fill="FFFFFF"/>
        </w:rPr>
        <w:t>у</w:t>
      </w:r>
      <w:r>
        <w:rPr>
          <w:b/>
          <w:shd w:val="clear" w:color="auto" w:fill="FFFFFF"/>
        </w:rPr>
        <w:t xml:space="preserve">меньшилось </w:t>
      </w:r>
      <w:r w:rsidRPr="00332290">
        <w:rPr>
          <w:shd w:val="clear" w:color="auto" w:fill="FFFFFF"/>
        </w:rPr>
        <w:t xml:space="preserve">на </w:t>
      </w:r>
      <w:r w:rsidR="00952174">
        <w:rPr>
          <w:shd w:val="clear" w:color="auto" w:fill="FFFFFF"/>
        </w:rPr>
        <w:t>38</w:t>
      </w:r>
      <w:r w:rsidRPr="00332290">
        <w:rPr>
          <w:shd w:val="clear" w:color="auto" w:fill="FFFFFF"/>
        </w:rPr>
        <w:t xml:space="preserve">% (на </w:t>
      </w:r>
      <w:r w:rsidR="006D29F2">
        <w:rPr>
          <w:shd w:val="clear" w:color="auto" w:fill="FFFFFF"/>
        </w:rPr>
        <w:t>13</w:t>
      </w:r>
      <w:r w:rsidR="0095217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обращений</w:t>
      </w:r>
      <w:r w:rsidRPr="00332290">
        <w:rPr>
          <w:shd w:val="clear" w:color="auto" w:fill="FFFFFF"/>
        </w:rPr>
        <w:t>).</w:t>
      </w:r>
    </w:p>
    <w:p w:rsidR="00F27117" w:rsidRDefault="00F27117" w:rsidP="00F27117"/>
    <w:p w:rsidR="00F27117" w:rsidRDefault="00F27117" w:rsidP="00F27117"/>
    <w:p w:rsidR="00F27117" w:rsidRDefault="00F27117" w:rsidP="00F27117"/>
    <w:p w:rsidR="00F27117" w:rsidRDefault="00F27117" w:rsidP="00F27117"/>
    <w:p w:rsidR="00F27117" w:rsidRDefault="00F27117" w:rsidP="00F27117"/>
    <w:p w:rsidR="00F27117" w:rsidRPr="00332290" w:rsidRDefault="00F27117" w:rsidP="000C1339">
      <w:pPr>
        <w:ind w:firstLine="709"/>
        <w:rPr>
          <w:shd w:val="clear" w:color="auto" w:fill="FFFFFF"/>
        </w:rPr>
      </w:pPr>
    </w:p>
    <w:p w:rsidR="000C1339" w:rsidRDefault="000C1339"/>
    <w:p w:rsidR="00952174" w:rsidRDefault="00952174" w:rsidP="00952174">
      <w:pPr>
        <w:ind w:firstLine="709"/>
        <w:rPr>
          <w:b/>
          <w:shd w:val="clear" w:color="auto" w:fill="FFFFFF"/>
        </w:rPr>
      </w:pPr>
      <w:r>
        <w:rPr>
          <w:b/>
          <w:shd w:val="clear" w:color="auto" w:fill="FFFFFF"/>
        </w:rPr>
        <w:t>Динамика роста/снижения количества письменных обращений, поступивших в адрес министерства</w:t>
      </w:r>
      <w:r w:rsidRPr="00FB7AA4">
        <w:rPr>
          <w:b/>
          <w:shd w:val="clear" w:color="auto" w:fill="FFFFFF"/>
        </w:rPr>
        <w:t xml:space="preserve"> сельского хозяйства Новосибирской области </w:t>
      </w:r>
    </w:p>
    <w:p w:rsidR="00952174" w:rsidRDefault="00952174"/>
    <w:p w:rsidR="009B7247" w:rsidRDefault="009B7247" w:rsidP="009B7247">
      <w:r w:rsidRPr="00FC4CAF">
        <w:rPr>
          <w:noProof/>
        </w:rPr>
        <w:drawing>
          <wp:inline distT="0" distB="0" distL="0" distR="0">
            <wp:extent cx="5374005" cy="239839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7152" w:rsidRPr="004631B2" w:rsidRDefault="009B7152" w:rsidP="009B7152">
      <w:pPr>
        <w:ind w:firstLine="709"/>
        <w:jc w:val="center"/>
        <w:rPr>
          <w:b/>
          <w:shd w:val="clear" w:color="auto" w:fill="FFFFFF"/>
        </w:rPr>
      </w:pPr>
      <w:r w:rsidRPr="004631B2">
        <w:rPr>
          <w:b/>
          <w:shd w:val="clear" w:color="auto" w:fill="FFFFFF"/>
        </w:rPr>
        <w:t>Виды письменных обращен</w:t>
      </w:r>
      <w:r>
        <w:rPr>
          <w:b/>
          <w:shd w:val="clear" w:color="auto" w:fill="FFFFFF"/>
        </w:rPr>
        <w:t>ий, поступивших в адрес министерства</w:t>
      </w:r>
      <w:r w:rsidRPr="004631B2">
        <w:rPr>
          <w:b/>
          <w:shd w:val="clear" w:color="auto" w:fill="FFFFFF"/>
        </w:rPr>
        <w:t xml:space="preserve"> се</w:t>
      </w:r>
      <w:r>
        <w:rPr>
          <w:b/>
          <w:shd w:val="clear" w:color="auto" w:fill="FFFFFF"/>
        </w:rPr>
        <w:t>льског</w:t>
      </w:r>
      <w:r w:rsidRPr="004631B2">
        <w:rPr>
          <w:b/>
          <w:shd w:val="clear" w:color="auto" w:fill="FFFFFF"/>
        </w:rPr>
        <w:t>о хозяйства Новосибирской области</w:t>
      </w:r>
    </w:p>
    <w:p w:rsidR="009B7152" w:rsidRDefault="009B7152" w:rsidP="009B7152"/>
    <w:p w:rsidR="009B7152" w:rsidRDefault="009B7152" w:rsidP="009B7152"/>
    <w:p w:rsidR="009B7152" w:rsidRDefault="009B7152" w:rsidP="009B7152">
      <w:r>
        <w:t>По видам письменные обращения подразделяются на:</w:t>
      </w:r>
    </w:p>
    <w:p w:rsidR="009B7152" w:rsidRDefault="009B7152" w:rsidP="009B7152">
      <w:pPr>
        <w:numPr>
          <w:ilvl w:val="0"/>
          <w:numId w:val="7"/>
        </w:numPr>
        <w:ind w:right="14"/>
      </w:pPr>
      <w:r>
        <w:t>заявления - 11 (52 %) (в марте 2022 года - 10 ( 47%), в апреле 2021 года - 12 (</w:t>
      </w:r>
      <w:r>
        <w:rPr>
          <w:vertAlign w:val="superscript"/>
        </w:rPr>
        <w:t xml:space="preserve"> </w:t>
      </w:r>
      <w:r>
        <w:t>35%));</w:t>
      </w:r>
    </w:p>
    <w:p w:rsidR="009B7152" w:rsidRDefault="009B7152" w:rsidP="009B7152">
      <w:pPr>
        <w:numPr>
          <w:ilvl w:val="0"/>
          <w:numId w:val="7"/>
        </w:numPr>
        <w:spacing w:after="37"/>
        <w:ind w:right="14"/>
      </w:pPr>
      <w:r>
        <w:t xml:space="preserve">жалобы - 1 (3 </w:t>
      </w:r>
      <w:r>
        <w:rPr>
          <w:vertAlign w:val="superscript"/>
        </w:rPr>
        <w:t>%</w:t>
      </w:r>
      <w:r>
        <w:t>) (в марте 2022 года – 1</w:t>
      </w:r>
      <w:r w:rsidRPr="00247777">
        <w:t xml:space="preserve"> </w:t>
      </w:r>
      <w:r>
        <w:t>(5%), в апреле 2021 года -2 (6%)</w:t>
      </w:r>
    </w:p>
    <w:p w:rsidR="009B7152" w:rsidRDefault="009B7152" w:rsidP="009B7152">
      <w:pPr>
        <w:spacing w:after="0" w:line="259" w:lineRule="auto"/>
        <w:ind w:left="17" w:hanging="10"/>
        <w:jc w:val="left"/>
      </w:pPr>
    </w:p>
    <w:p w:rsidR="009B7152" w:rsidRDefault="009B7152" w:rsidP="009B7152">
      <w:pPr>
        <w:spacing w:after="37"/>
        <w:ind w:left="713" w:right="14" w:firstLine="0"/>
      </w:pPr>
      <w:r>
        <w:t>- запросы - 2 ( 9%) (в марте 2022 года – 8</w:t>
      </w:r>
      <w:r w:rsidRPr="00247777">
        <w:t xml:space="preserve"> </w:t>
      </w:r>
      <w:r>
        <w:t>(40 %), в апреле 2021 года -</w:t>
      </w:r>
      <w:r>
        <w:rPr>
          <w:noProof/>
        </w:rPr>
        <w:drawing>
          <wp:inline distT="0" distB="0" distL="0" distR="0" wp14:anchorId="68ED5D82" wp14:editId="752923E8">
            <wp:extent cx="4574" cy="4574"/>
            <wp:effectExtent l="0" t="0" r="0" b="0"/>
            <wp:docPr id="19571" name="Picture 19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" name="Picture 195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12 (35%)</w:t>
      </w:r>
    </w:p>
    <w:p w:rsidR="009B7152" w:rsidRDefault="009B7152" w:rsidP="009B7152">
      <w:pPr>
        <w:spacing w:after="0" w:line="259" w:lineRule="auto"/>
        <w:ind w:left="17" w:hanging="10"/>
        <w:jc w:val="left"/>
      </w:pPr>
      <w:r>
        <w:rPr>
          <w:sz w:val="24"/>
        </w:rPr>
        <w:t>;</w:t>
      </w:r>
    </w:p>
    <w:p w:rsidR="009B7152" w:rsidRPr="00900EE4" w:rsidRDefault="009B7152" w:rsidP="009B7152">
      <w:pPr>
        <w:spacing w:after="37"/>
        <w:ind w:left="713" w:right="14" w:firstLine="0"/>
      </w:pPr>
      <w:r>
        <w:t>- не обращения - 1 (3 %) (в марте 2022 года – 0 , в апреле 2021 года  1-</w:t>
      </w:r>
      <w:r>
        <w:rPr>
          <w:noProof/>
        </w:rPr>
        <w:drawing>
          <wp:inline distT="0" distB="0" distL="0" distR="0" wp14:anchorId="465379C3" wp14:editId="0B72F8B2">
            <wp:extent cx="4574" cy="4574"/>
            <wp:effectExtent l="0" t="0" r="0" b="0"/>
            <wp:docPr id="19572" name="Picture 19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" name="Picture 195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(4%)</w:t>
      </w:r>
    </w:p>
    <w:p w:rsidR="009B7152" w:rsidRDefault="009B7152" w:rsidP="009B7152">
      <w:pPr>
        <w:spacing w:after="0" w:line="259" w:lineRule="auto"/>
        <w:ind w:left="14" w:firstLine="0"/>
        <w:jc w:val="left"/>
      </w:pPr>
    </w:p>
    <w:p w:rsidR="009B7152" w:rsidRPr="00247777" w:rsidRDefault="009B7152" w:rsidP="009B7152">
      <w:pPr>
        <w:spacing w:after="37"/>
        <w:ind w:left="713" w:right="14" w:firstLine="0"/>
      </w:pPr>
      <w:r>
        <w:t xml:space="preserve">- предложения - 7 (33 %) (в марте 2022 года – 1 (5 </w:t>
      </w:r>
      <w:r>
        <w:rPr>
          <w:vertAlign w:val="superscript"/>
        </w:rPr>
        <w:t>0</w:t>
      </w:r>
      <w:r>
        <w:t>/0), в апреле 2021 года -7 (20%)</w:t>
      </w:r>
    </w:p>
    <w:p w:rsidR="009B7247" w:rsidRDefault="009B7247" w:rsidP="009B7247"/>
    <w:p w:rsidR="004C3044" w:rsidRDefault="004C3044">
      <w:pPr>
        <w:spacing w:after="285" w:line="259" w:lineRule="auto"/>
        <w:ind w:left="17" w:hanging="10"/>
        <w:jc w:val="left"/>
      </w:pPr>
    </w:p>
    <w:p w:rsidR="009B7152" w:rsidRDefault="009B7152">
      <w:pPr>
        <w:spacing w:after="285" w:line="259" w:lineRule="auto"/>
        <w:ind w:left="17" w:hanging="10"/>
        <w:jc w:val="left"/>
      </w:pPr>
      <w:r>
        <w:rPr>
          <w:noProof/>
          <w:shd w:val="clear" w:color="auto" w:fill="FFFFFF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74005" cy="3260725"/>
            <wp:effectExtent l="0" t="0" r="0" b="0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br w:type="textWrapping" w:clear="all"/>
      </w:r>
    </w:p>
    <w:p w:rsidR="00D54BDA" w:rsidRPr="00332290" w:rsidRDefault="00D54BDA" w:rsidP="00D54BDA">
      <w:pPr>
        <w:ind w:firstLine="709"/>
        <w:rPr>
          <w:shd w:val="clear" w:color="auto" w:fill="FFFFFF"/>
        </w:rPr>
      </w:pPr>
      <w:r w:rsidRPr="00332290">
        <w:rPr>
          <w:shd w:val="clear" w:color="auto" w:fill="FFFFFF"/>
        </w:rPr>
        <w:t>Основные вопросы, с которыми обращались жители Новосибирской области:</w:t>
      </w:r>
    </w:p>
    <w:p w:rsidR="00D54BDA" w:rsidRDefault="00D54BDA" w:rsidP="00D54BDA">
      <w:pPr>
        <w:ind w:firstLine="709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1. </w:t>
      </w:r>
      <w:r w:rsidRPr="00332290">
        <w:rPr>
          <w:b/>
          <w:shd w:val="clear" w:color="auto" w:fill="FFFFFF"/>
        </w:rPr>
        <w:t xml:space="preserve">«Сельское хозяйство» – </w:t>
      </w:r>
      <w:r w:rsidR="00A33104">
        <w:rPr>
          <w:b/>
          <w:shd w:val="clear" w:color="auto" w:fill="FFFFFF"/>
        </w:rPr>
        <w:t>17</w:t>
      </w:r>
      <w:r>
        <w:rPr>
          <w:b/>
          <w:shd w:val="clear" w:color="auto" w:fill="FFFFFF"/>
        </w:rPr>
        <w:t xml:space="preserve"> </w:t>
      </w:r>
      <w:r w:rsidRPr="00332290">
        <w:rPr>
          <w:b/>
          <w:shd w:val="clear" w:color="auto" w:fill="FFFFFF"/>
        </w:rPr>
        <w:t>(</w:t>
      </w:r>
      <w:r w:rsidR="00A33104">
        <w:rPr>
          <w:b/>
          <w:shd w:val="clear" w:color="auto" w:fill="FFFFFF"/>
        </w:rPr>
        <w:t xml:space="preserve">83 </w:t>
      </w:r>
      <w:r w:rsidRPr="00332290">
        <w:rPr>
          <w:b/>
          <w:shd w:val="clear" w:color="auto" w:fill="FFFFFF"/>
        </w:rPr>
        <w:t>%)</w:t>
      </w:r>
      <w:r w:rsidR="00DC3225">
        <w:rPr>
          <w:b/>
          <w:shd w:val="clear" w:color="auto" w:fill="FFFFFF"/>
        </w:rPr>
        <w:t>:</w:t>
      </w:r>
    </w:p>
    <w:p w:rsidR="00D54BDA" w:rsidRPr="00587731" w:rsidRDefault="00D54BDA" w:rsidP="00D54BDA">
      <w:pPr>
        <w:ind w:firstLine="709"/>
        <w:rPr>
          <w:shd w:val="clear" w:color="auto" w:fill="FFFFFF"/>
        </w:rPr>
      </w:pPr>
      <w:r w:rsidRPr="00587731">
        <w:rPr>
          <w:shd w:val="clear" w:color="auto" w:fill="FFFFFF"/>
        </w:rPr>
        <w:t xml:space="preserve">- </w:t>
      </w:r>
      <w:r w:rsidR="00DC3225">
        <w:rPr>
          <w:shd w:val="clear" w:color="auto" w:fill="FFFFFF"/>
        </w:rPr>
        <w:t>о предоставлении субсидий садоводческим некоммерческим обществам</w:t>
      </w:r>
      <w:r w:rsidRPr="00587731">
        <w:rPr>
          <w:shd w:val="clear" w:color="auto" w:fill="FFFFFF"/>
        </w:rPr>
        <w:t>;</w:t>
      </w:r>
    </w:p>
    <w:p w:rsidR="00D54BDA" w:rsidRPr="00587731" w:rsidRDefault="00D54BDA" w:rsidP="00D54BDA">
      <w:pPr>
        <w:ind w:firstLine="709"/>
        <w:rPr>
          <w:shd w:val="clear" w:color="auto" w:fill="FFFFFF"/>
        </w:rPr>
      </w:pPr>
      <w:r w:rsidRPr="00587731">
        <w:rPr>
          <w:shd w:val="clear" w:color="auto" w:fill="FFFFFF"/>
        </w:rPr>
        <w:t xml:space="preserve">- </w:t>
      </w:r>
      <w:r w:rsidR="00DC3225">
        <w:rPr>
          <w:shd w:val="clear" w:color="auto" w:fill="FFFFFF"/>
        </w:rPr>
        <w:t>о порядке и сроках подачи заявок на участия в конкурсном отборе на право получения гранта по направлению «Агростартап»</w:t>
      </w:r>
      <w:r w:rsidRPr="00587731">
        <w:rPr>
          <w:shd w:val="clear" w:color="auto" w:fill="FFFFFF"/>
        </w:rPr>
        <w:t>;</w:t>
      </w:r>
    </w:p>
    <w:p w:rsidR="00D54BDA" w:rsidRDefault="00D54BDA" w:rsidP="00D54BDA">
      <w:pPr>
        <w:ind w:firstLine="709"/>
        <w:rPr>
          <w:shd w:val="clear" w:color="auto" w:fill="FFFFFF"/>
        </w:rPr>
      </w:pPr>
      <w:r w:rsidRPr="00587731">
        <w:rPr>
          <w:shd w:val="clear" w:color="auto" w:fill="FFFFFF"/>
        </w:rPr>
        <w:t>- об отнесении земельного участка к особо ценным сельскохозяйственным угодьям;</w:t>
      </w:r>
    </w:p>
    <w:p w:rsidR="00944D45" w:rsidRPr="00587731" w:rsidRDefault="00944D45" w:rsidP="00D54BDA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о предоставлении земельных участков под посадку картофеля;</w:t>
      </w:r>
    </w:p>
    <w:p w:rsidR="00D54BDA" w:rsidRDefault="00D54BDA" w:rsidP="00D54BDA">
      <w:pPr>
        <w:ind w:firstLine="709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2. </w:t>
      </w:r>
      <w:r w:rsidRPr="00332290">
        <w:rPr>
          <w:b/>
          <w:shd w:val="clear" w:color="auto" w:fill="FFFFFF"/>
        </w:rPr>
        <w:t xml:space="preserve">«Государство, общество, политика» - </w:t>
      </w:r>
      <w:r w:rsidR="00A33104">
        <w:rPr>
          <w:b/>
          <w:shd w:val="clear" w:color="auto" w:fill="FFFFFF"/>
        </w:rPr>
        <w:t>2</w:t>
      </w:r>
      <w:r>
        <w:rPr>
          <w:b/>
          <w:shd w:val="clear" w:color="auto" w:fill="FFFFFF"/>
        </w:rPr>
        <w:t xml:space="preserve"> </w:t>
      </w:r>
      <w:r w:rsidRPr="00332290">
        <w:rPr>
          <w:b/>
          <w:shd w:val="clear" w:color="auto" w:fill="FFFFFF"/>
        </w:rPr>
        <w:t>(</w:t>
      </w:r>
      <w:r w:rsidR="00A33104">
        <w:rPr>
          <w:b/>
          <w:shd w:val="clear" w:color="auto" w:fill="FFFFFF"/>
        </w:rPr>
        <w:t xml:space="preserve">9 </w:t>
      </w:r>
      <w:r w:rsidRPr="00332290">
        <w:rPr>
          <w:b/>
          <w:shd w:val="clear" w:color="auto" w:fill="FFFFFF"/>
        </w:rPr>
        <w:t>%)</w:t>
      </w:r>
      <w:r w:rsidR="00DC3225">
        <w:rPr>
          <w:shd w:val="clear" w:color="auto" w:fill="FFFFFF"/>
        </w:rPr>
        <w:t>:</w:t>
      </w:r>
    </w:p>
    <w:p w:rsidR="00D54BDA" w:rsidRPr="00587731" w:rsidRDefault="00D54BDA" w:rsidP="00D54BDA">
      <w:pPr>
        <w:ind w:firstLine="709"/>
        <w:rPr>
          <w:shd w:val="clear" w:color="auto" w:fill="FFFFFF"/>
        </w:rPr>
      </w:pPr>
      <w:r w:rsidRPr="00587731">
        <w:rPr>
          <w:shd w:val="clear" w:color="auto" w:fill="FFFFFF"/>
        </w:rPr>
        <w:t xml:space="preserve">- запрос контактных данных фермерских хозяйств-поставщиков </w:t>
      </w:r>
      <w:r w:rsidR="00DC3225">
        <w:rPr>
          <w:shd w:val="clear" w:color="auto" w:fill="FFFFFF"/>
        </w:rPr>
        <w:t>сельскохозяйственной продукции</w:t>
      </w:r>
      <w:r w:rsidRPr="00587731">
        <w:rPr>
          <w:shd w:val="clear" w:color="auto" w:fill="FFFFFF"/>
        </w:rPr>
        <w:t>;</w:t>
      </w:r>
    </w:p>
    <w:p w:rsidR="00D54BDA" w:rsidRDefault="00944D45" w:rsidP="00D54BDA">
      <w:pPr>
        <w:ind w:firstLine="709"/>
        <w:rPr>
          <w:shd w:val="clear" w:color="auto" w:fill="FFFFFF"/>
        </w:rPr>
      </w:pPr>
      <w:r>
        <w:rPr>
          <w:b/>
          <w:shd w:val="clear" w:color="auto" w:fill="FFFFFF"/>
        </w:rPr>
        <w:t>3</w:t>
      </w:r>
      <w:r w:rsidR="00D54BDA" w:rsidRPr="00B023C2">
        <w:rPr>
          <w:b/>
          <w:shd w:val="clear" w:color="auto" w:fill="FFFFFF"/>
        </w:rPr>
        <w:t>.</w:t>
      </w:r>
      <w:r w:rsidR="00DC3225">
        <w:rPr>
          <w:b/>
          <w:shd w:val="clear" w:color="auto" w:fill="FFFFFF"/>
        </w:rPr>
        <w:t xml:space="preserve"> «Жилищно-коммунальная</w:t>
      </w:r>
      <w:r w:rsidR="00D54BDA" w:rsidRPr="00B023C2">
        <w:rPr>
          <w:b/>
          <w:shd w:val="clear" w:color="auto" w:fill="FFFFFF"/>
        </w:rPr>
        <w:t xml:space="preserve"> сфера»-1 (</w:t>
      </w:r>
      <w:r w:rsidR="00A33104">
        <w:rPr>
          <w:b/>
          <w:shd w:val="clear" w:color="auto" w:fill="FFFFFF"/>
        </w:rPr>
        <w:t>4</w:t>
      </w:r>
      <w:r w:rsidR="00D54BDA" w:rsidRPr="00B023C2">
        <w:rPr>
          <w:b/>
          <w:shd w:val="clear" w:color="auto" w:fill="FFFFFF"/>
        </w:rPr>
        <w:t>%)</w:t>
      </w:r>
      <w:r>
        <w:rPr>
          <w:shd w:val="clear" w:color="auto" w:fill="FFFFFF"/>
        </w:rPr>
        <w:t>:</w:t>
      </w:r>
    </w:p>
    <w:p w:rsidR="00944D45" w:rsidRDefault="00944D45" w:rsidP="00D54BDA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  по улучшению жилищных условий граждан, проживающих на сельских территориях;</w:t>
      </w:r>
    </w:p>
    <w:p w:rsidR="00944D45" w:rsidRDefault="00944D45" w:rsidP="00D54BDA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4.</w:t>
      </w:r>
      <w:r w:rsidRPr="00944D45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«Обрабатывающая промышленность»</w:t>
      </w:r>
      <w:r w:rsidRPr="00B023C2">
        <w:rPr>
          <w:b/>
          <w:shd w:val="clear" w:color="auto" w:fill="FFFFFF"/>
        </w:rPr>
        <w:t>»-1 (</w:t>
      </w:r>
      <w:r w:rsidR="00A33104">
        <w:rPr>
          <w:b/>
          <w:shd w:val="clear" w:color="auto" w:fill="FFFFFF"/>
        </w:rPr>
        <w:t xml:space="preserve">4 </w:t>
      </w:r>
      <w:r w:rsidRPr="00B023C2">
        <w:rPr>
          <w:b/>
          <w:shd w:val="clear" w:color="auto" w:fill="FFFFFF"/>
        </w:rPr>
        <w:t>%)</w:t>
      </w:r>
      <w:r>
        <w:rPr>
          <w:shd w:val="clear" w:color="auto" w:fill="FFFFFF"/>
        </w:rPr>
        <w:t>:</w:t>
      </w:r>
    </w:p>
    <w:p w:rsidR="00944D45" w:rsidRDefault="00944D45" w:rsidP="00D54BDA">
      <w:pPr>
        <w:ind w:firstLine="709"/>
        <w:rPr>
          <w:b/>
          <w:shd w:val="clear" w:color="auto" w:fill="FFFFFF"/>
        </w:rPr>
      </w:pPr>
      <w:r>
        <w:rPr>
          <w:shd w:val="clear" w:color="auto" w:fill="FFFFFF"/>
        </w:rPr>
        <w:t>- о принятии мер по ограничению</w:t>
      </w:r>
      <w:r w:rsidR="00A33104">
        <w:rPr>
          <w:shd w:val="clear" w:color="auto" w:fill="FFFFFF"/>
        </w:rPr>
        <w:t xml:space="preserve"> роста цен на</w:t>
      </w:r>
      <w:r>
        <w:rPr>
          <w:shd w:val="clear" w:color="auto" w:fill="FFFFFF"/>
        </w:rPr>
        <w:t xml:space="preserve"> </w:t>
      </w:r>
      <w:r w:rsidR="00A33104">
        <w:rPr>
          <w:shd w:val="clear" w:color="auto" w:fill="FFFFFF"/>
        </w:rPr>
        <w:t xml:space="preserve">продовольственные товары и сырье. </w:t>
      </w:r>
    </w:p>
    <w:p w:rsidR="00D54BDA" w:rsidRPr="00210CBD" w:rsidRDefault="00D54BDA" w:rsidP="00D54BDA">
      <w:pPr>
        <w:ind w:firstLine="709"/>
        <w:rPr>
          <w:b/>
          <w:shd w:val="clear" w:color="auto" w:fill="FFFFFF"/>
        </w:rPr>
      </w:pPr>
    </w:p>
    <w:p w:rsidR="00D54BDA" w:rsidRPr="00332290" w:rsidRDefault="00D54BDA" w:rsidP="00D54BDA">
      <w:pPr>
        <w:rPr>
          <w:shd w:val="clear" w:color="auto" w:fill="FFFFFF"/>
        </w:rPr>
      </w:pPr>
      <w:r w:rsidRPr="00332290">
        <w:rPr>
          <w:shd w:val="clear" w:color="auto" w:fill="FFFFFF"/>
        </w:rPr>
        <w:t>Вопросы, содержащиеся в письменных обращениях рассмотрены (направлены на рассмотрение по компетенции).</w:t>
      </w:r>
    </w:p>
    <w:p w:rsidR="00D54BDA" w:rsidRPr="00332290" w:rsidRDefault="00D54BDA" w:rsidP="00D54BDA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Результативность рассмотрения вопросов, содержащихся в письменных обращениях</w:t>
      </w:r>
      <w:r w:rsidRPr="00332290">
        <w:rPr>
          <w:shd w:val="clear" w:color="auto" w:fill="FFFFFF"/>
        </w:rPr>
        <w:t>:</w:t>
      </w:r>
    </w:p>
    <w:p w:rsidR="00D54BDA" w:rsidRDefault="00D54BDA" w:rsidP="00D54BDA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разъяснено – </w:t>
      </w:r>
      <w:r w:rsidR="00EC27A3">
        <w:rPr>
          <w:shd w:val="clear" w:color="auto" w:fill="FFFFFF"/>
        </w:rPr>
        <w:t xml:space="preserve">21 </w:t>
      </w:r>
      <w:r>
        <w:rPr>
          <w:shd w:val="clear" w:color="auto" w:fill="FFFFFF"/>
        </w:rPr>
        <w:t>(</w:t>
      </w:r>
      <w:r w:rsidRPr="00332290">
        <w:rPr>
          <w:shd w:val="clear" w:color="auto" w:fill="FFFFFF"/>
        </w:rPr>
        <w:t>100%)</w:t>
      </w:r>
      <w:r>
        <w:rPr>
          <w:shd w:val="clear" w:color="auto" w:fill="FFFFFF"/>
        </w:rPr>
        <w:t>.</w:t>
      </w:r>
    </w:p>
    <w:p w:rsidR="009B7152" w:rsidRDefault="009B7152">
      <w:pPr>
        <w:spacing w:after="285" w:line="259" w:lineRule="auto"/>
        <w:ind w:left="17" w:hanging="10"/>
        <w:jc w:val="left"/>
      </w:pPr>
    </w:p>
    <w:p w:rsidR="009B7152" w:rsidRDefault="009B7152">
      <w:pPr>
        <w:spacing w:after="285" w:line="259" w:lineRule="auto"/>
        <w:ind w:left="17" w:hanging="10"/>
        <w:jc w:val="left"/>
      </w:pPr>
    </w:p>
    <w:p w:rsidR="009030FD" w:rsidRDefault="009030FD" w:rsidP="009030FD">
      <w:pPr>
        <w:ind w:firstLine="709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Личный прием граждан</w:t>
      </w:r>
    </w:p>
    <w:p w:rsidR="009030FD" w:rsidRPr="000D69BF" w:rsidRDefault="009030FD" w:rsidP="009030FD">
      <w:pPr>
        <w:ind w:firstLine="709"/>
        <w:rPr>
          <w:b/>
          <w:shd w:val="clear" w:color="auto" w:fill="FFFFFF"/>
        </w:rPr>
      </w:pPr>
    </w:p>
    <w:p w:rsidR="009030FD" w:rsidRPr="00332290" w:rsidRDefault="009030FD" w:rsidP="009030FD">
      <w:pPr>
        <w:ind w:firstLine="709"/>
        <w:rPr>
          <w:shd w:val="clear" w:color="auto" w:fill="FFFFFF"/>
        </w:rPr>
      </w:pPr>
      <w:r w:rsidRPr="00332290">
        <w:rPr>
          <w:shd w:val="clear" w:color="auto" w:fill="FFFFFF"/>
        </w:rPr>
        <w:t xml:space="preserve">В соответствии с постановлением Губернатора Новосибирской области от 25.12.2006 №516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 w:rsidRPr="00A75915">
        <w:rPr>
          <w:b/>
          <w:shd w:val="clear" w:color="auto" w:fill="FFFFFF"/>
        </w:rPr>
        <w:t>единый день личного приема</w:t>
      </w:r>
      <w:r w:rsidRPr="00332290"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1E638F" w:rsidRDefault="009030FD" w:rsidP="009030F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На личном</w:t>
      </w:r>
      <w:r w:rsidRPr="00A853DE">
        <w:rPr>
          <w:shd w:val="clear" w:color="auto" w:fill="FFFFFF"/>
        </w:rPr>
        <w:t xml:space="preserve"> прием</w:t>
      </w:r>
      <w:r>
        <w:rPr>
          <w:shd w:val="clear" w:color="auto" w:fill="FFFFFF"/>
        </w:rPr>
        <w:t>е</w:t>
      </w:r>
      <w:r w:rsidRPr="00A853DE">
        <w:rPr>
          <w:shd w:val="clear" w:color="auto" w:fill="FFFFFF"/>
        </w:rPr>
        <w:t xml:space="preserve"> в Минсельхоз</w:t>
      </w:r>
      <w:r>
        <w:rPr>
          <w:shd w:val="clear" w:color="auto" w:fill="FFFFFF"/>
        </w:rPr>
        <w:t>е</w:t>
      </w:r>
      <w:r w:rsidRPr="00A853DE">
        <w:rPr>
          <w:shd w:val="clear" w:color="auto" w:fill="FFFFFF"/>
        </w:rPr>
        <w:t xml:space="preserve"> НСО в </w:t>
      </w:r>
      <w:r>
        <w:rPr>
          <w:shd w:val="clear" w:color="auto" w:fill="FFFFFF"/>
        </w:rPr>
        <w:t xml:space="preserve">апреле </w:t>
      </w:r>
      <w:r w:rsidRPr="00A853DE">
        <w:rPr>
          <w:shd w:val="clear" w:color="auto" w:fill="FFFFFF"/>
        </w:rPr>
        <w:t>20</w:t>
      </w:r>
      <w:r>
        <w:rPr>
          <w:shd w:val="clear" w:color="auto" w:fill="FFFFFF"/>
        </w:rPr>
        <w:t>22</w:t>
      </w:r>
      <w:r w:rsidRPr="00A853DE">
        <w:rPr>
          <w:shd w:val="clear" w:color="auto" w:fill="FFFFFF"/>
        </w:rPr>
        <w:t xml:space="preserve"> года </w:t>
      </w:r>
      <w:r>
        <w:rPr>
          <w:shd w:val="clear" w:color="auto" w:fill="FFFFFF"/>
        </w:rPr>
        <w:t xml:space="preserve">было принято 10 граждан </w:t>
      </w:r>
      <w:r w:rsidRPr="00332290">
        <w:rPr>
          <w:shd w:val="clear" w:color="auto" w:fill="FFFFFF"/>
        </w:rPr>
        <w:t xml:space="preserve">(в </w:t>
      </w:r>
      <w:r>
        <w:rPr>
          <w:shd w:val="clear" w:color="auto" w:fill="FFFFFF"/>
        </w:rPr>
        <w:t xml:space="preserve">марте 2022 </w:t>
      </w:r>
      <w:r w:rsidRPr="00332290">
        <w:rPr>
          <w:shd w:val="clear" w:color="auto" w:fill="FFFFFF"/>
        </w:rPr>
        <w:t xml:space="preserve">года </w:t>
      </w:r>
      <w:r>
        <w:rPr>
          <w:shd w:val="clear" w:color="auto" w:fill="FFFFFF"/>
        </w:rPr>
        <w:t>1 человек</w:t>
      </w:r>
      <w:r w:rsidRPr="00332290">
        <w:rPr>
          <w:shd w:val="clear" w:color="auto" w:fill="FFFFFF"/>
        </w:rPr>
        <w:t>, в</w:t>
      </w:r>
      <w:r>
        <w:rPr>
          <w:shd w:val="clear" w:color="auto" w:fill="FFFFFF"/>
        </w:rPr>
        <w:t xml:space="preserve"> апреле </w:t>
      </w:r>
      <w:r w:rsidRPr="00332290">
        <w:rPr>
          <w:shd w:val="clear" w:color="auto" w:fill="FFFFFF"/>
        </w:rPr>
        <w:t>2</w:t>
      </w:r>
      <w:r>
        <w:rPr>
          <w:shd w:val="clear" w:color="auto" w:fill="FFFFFF"/>
        </w:rPr>
        <w:t>021</w:t>
      </w:r>
      <w:r w:rsidRPr="00332290">
        <w:rPr>
          <w:shd w:val="clear" w:color="auto" w:fill="FFFFFF"/>
        </w:rPr>
        <w:t xml:space="preserve"> года</w:t>
      </w:r>
      <w:r>
        <w:rPr>
          <w:shd w:val="clear" w:color="auto" w:fill="FFFFFF"/>
        </w:rPr>
        <w:t xml:space="preserve"> 2 человека). </w:t>
      </w:r>
    </w:p>
    <w:p w:rsidR="001E638F" w:rsidRDefault="009030FD" w:rsidP="009030F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Граждане обращались</w:t>
      </w:r>
      <w:r w:rsidR="001E638F">
        <w:rPr>
          <w:shd w:val="clear" w:color="auto" w:fill="FFFFFF"/>
        </w:rPr>
        <w:t xml:space="preserve"> по следующим вопросам: </w:t>
      </w:r>
    </w:p>
    <w:p w:rsidR="001E638F" w:rsidRDefault="001E638F" w:rsidP="001E638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помощь в оказании помощи в приобретении сельскохозяйственной техники     </w:t>
      </w:r>
    </w:p>
    <w:p w:rsidR="009030FD" w:rsidRDefault="001E638F" w:rsidP="001E638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получение социальных выплат по программе строительства жилья;</w:t>
      </w:r>
    </w:p>
    <w:p w:rsidR="001E638F" w:rsidRDefault="001E638F" w:rsidP="001E638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организация автоматизированного тепличного комплекса для выращивания овощей;</w:t>
      </w:r>
    </w:p>
    <w:p w:rsidR="001E638F" w:rsidRDefault="001E638F" w:rsidP="001E638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развитие и поддержка крестьянских фермерских хозяйств;</w:t>
      </w:r>
    </w:p>
    <w:p w:rsidR="001E638F" w:rsidRDefault="001E638F" w:rsidP="001E638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развитие и поддержка в регионе «Агротуризма»</w:t>
      </w:r>
    </w:p>
    <w:p w:rsidR="00C844D6" w:rsidRDefault="00C844D6" w:rsidP="009030FD">
      <w:pPr>
        <w:ind w:firstLine="709"/>
        <w:rPr>
          <w:shd w:val="clear" w:color="auto" w:fill="FFFFFF"/>
        </w:rPr>
      </w:pPr>
    </w:p>
    <w:p w:rsidR="009030FD" w:rsidRPr="00332290" w:rsidRDefault="009030FD" w:rsidP="009030FD">
      <w:pPr>
        <w:ind w:firstLine="709"/>
        <w:rPr>
          <w:shd w:val="clear" w:color="auto" w:fill="FFFFFF"/>
        </w:rPr>
      </w:pPr>
      <w:r w:rsidRPr="00332290">
        <w:rPr>
          <w:shd w:val="clear" w:color="auto" w:fill="FFFFFF"/>
        </w:rPr>
        <w:t xml:space="preserve">В рамках </w:t>
      </w:r>
      <w:r>
        <w:rPr>
          <w:shd w:val="clear" w:color="auto" w:fill="FFFFFF"/>
        </w:rPr>
        <w:t xml:space="preserve">пилотного </w:t>
      </w:r>
      <w:r w:rsidRPr="00332290">
        <w:rPr>
          <w:shd w:val="clear" w:color="auto" w:fill="FFFFFF"/>
        </w:rPr>
        <w:t xml:space="preserve">проекта по применению в постоянном в режиме видеосвязи, аудиосвязи приемов граждан </w:t>
      </w:r>
      <w:r>
        <w:rPr>
          <w:shd w:val="clear" w:color="auto" w:fill="FFFFFF"/>
        </w:rPr>
        <w:t>не проводилось.</w:t>
      </w:r>
    </w:p>
    <w:p w:rsidR="009030FD" w:rsidRPr="00332290" w:rsidRDefault="009030FD" w:rsidP="009030FD">
      <w:pPr>
        <w:ind w:firstLine="709"/>
        <w:rPr>
          <w:shd w:val="clear" w:color="auto" w:fill="FFFFFF"/>
        </w:rPr>
      </w:pPr>
    </w:p>
    <w:p w:rsidR="00C844D6" w:rsidRDefault="00C844D6" w:rsidP="009030FD">
      <w:pPr>
        <w:ind w:firstLine="709"/>
        <w:rPr>
          <w:b/>
          <w:shd w:val="clear" w:color="auto" w:fill="FFFFFF"/>
        </w:rPr>
      </w:pPr>
    </w:p>
    <w:p w:rsidR="00C844D6" w:rsidRDefault="00C844D6" w:rsidP="009030FD">
      <w:pPr>
        <w:ind w:firstLine="709"/>
        <w:rPr>
          <w:b/>
          <w:shd w:val="clear" w:color="auto" w:fill="FFFFFF"/>
        </w:rPr>
      </w:pPr>
    </w:p>
    <w:p w:rsidR="009030FD" w:rsidRDefault="009030FD" w:rsidP="009030FD">
      <w:pPr>
        <w:ind w:firstLine="709"/>
        <w:rPr>
          <w:b/>
          <w:shd w:val="clear" w:color="auto" w:fill="FFFFFF"/>
        </w:rPr>
      </w:pPr>
      <w:r w:rsidRPr="00332290">
        <w:rPr>
          <w:b/>
          <w:shd w:val="clear" w:color="auto" w:fill="FFFFFF"/>
        </w:rPr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9030FD" w:rsidRPr="00332290" w:rsidRDefault="009030FD" w:rsidP="009030FD">
      <w:pPr>
        <w:ind w:firstLine="709"/>
        <w:rPr>
          <w:b/>
          <w:shd w:val="clear" w:color="auto" w:fill="FFFFFF"/>
        </w:rPr>
      </w:pPr>
    </w:p>
    <w:p w:rsidR="009030FD" w:rsidRDefault="009030FD" w:rsidP="009030FD">
      <w:pPr>
        <w:ind w:firstLine="709"/>
        <w:rPr>
          <w:shd w:val="clear" w:color="auto" w:fill="FFFFFF"/>
        </w:rPr>
      </w:pPr>
      <w:r w:rsidRPr="00332290">
        <w:rPr>
          <w:shd w:val="clear" w:color="auto" w:fill="FFFFFF"/>
        </w:rPr>
        <w:t xml:space="preserve">В справочную телефонную службу </w:t>
      </w:r>
      <w:r>
        <w:rPr>
          <w:shd w:val="clear" w:color="auto" w:fill="FFFFFF"/>
        </w:rPr>
        <w:t xml:space="preserve">в </w:t>
      </w:r>
      <w:r w:rsidR="007A0C49">
        <w:rPr>
          <w:shd w:val="clear" w:color="auto" w:fill="FFFFFF"/>
        </w:rPr>
        <w:t>апреле</w:t>
      </w:r>
      <w:r w:rsidRPr="00332290">
        <w:rPr>
          <w:shd w:val="clear" w:color="auto" w:fill="FFFFFF"/>
        </w:rPr>
        <w:t xml:space="preserve"> </w:t>
      </w:r>
      <w:r w:rsidR="007A0C49">
        <w:rPr>
          <w:shd w:val="clear" w:color="auto" w:fill="FFFFFF"/>
        </w:rPr>
        <w:t>2022</w:t>
      </w:r>
      <w:r>
        <w:rPr>
          <w:shd w:val="clear" w:color="auto" w:fill="FFFFFF"/>
        </w:rPr>
        <w:t xml:space="preserve"> </w:t>
      </w:r>
      <w:r w:rsidRPr="00332290">
        <w:rPr>
          <w:shd w:val="clear" w:color="auto" w:fill="FFFFFF"/>
        </w:rPr>
        <w:t xml:space="preserve">года </w:t>
      </w:r>
      <w:r>
        <w:rPr>
          <w:shd w:val="clear" w:color="auto" w:fill="FFFFFF"/>
        </w:rPr>
        <w:t>устных сообщений</w:t>
      </w:r>
      <w:r w:rsidRPr="00332290">
        <w:rPr>
          <w:shd w:val="clear" w:color="auto" w:fill="FFFFFF"/>
        </w:rPr>
        <w:t xml:space="preserve"> и запросов</w:t>
      </w:r>
      <w:r>
        <w:rPr>
          <w:shd w:val="clear" w:color="auto" w:fill="FFFFFF"/>
        </w:rPr>
        <w:t xml:space="preserve"> информации</w:t>
      </w:r>
      <w:r w:rsidRPr="00332290">
        <w:rPr>
          <w:shd w:val="clear" w:color="auto" w:fill="FFFFFF"/>
        </w:rPr>
        <w:t>, в том числе в форме смс-сообщений</w:t>
      </w:r>
      <w:r>
        <w:rPr>
          <w:shd w:val="clear" w:color="auto" w:fill="FFFFFF"/>
        </w:rPr>
        <w:t xml:space="preserve"> поступило</w:t>
      </w:r>
      <w:r w:rsidR="007A0C49">
        <w:rPr>
          <w:shd w:val="clear" w:color="auto" w:fill="FFFFFF"/>
        </w:rPr>
        <w:t xml:space="preserve"> 1</w:t>
      </w:r>
      <w:r w:rsidR="00C844D6">
        <w:rPr>
          <w:shd w:val="clear" w:color="auto" w:fill="FFFFFF"/>
        </w:rPr>
        <w:t>5 сообщений ( в марте 2022 таких сообщений было 28, в апреле 2021 -20)</w:t>
      </w:r>
    </w:p>
    <w:p w:rsidR="00C844D6" w:rsidRDefault="00C844D6" w:rsidP="009030FD">
      <w:pPr>
        <w:ind w:firstLine="709"/>
        <w:rPr>
          <w:shd w:val="clear" w:color="auto" w:fill="FFFFFF"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  <w:rPr>
          <w:b/>
        </w:rPr>
      </w:pPr>
    </w:p>
    <w:p w:rsidR="00C844D6" w:rsidRDefault="00C844D6" w:rsidP="00C844D6">
      <w:pPr>
        <w:ind w:left="14" w:right="14"/>
      </w:pPr>
      <w:r w:rsidRPr="00FC4CAF">
        <w:rPr>
          <w:b/>
        </w:rPr>
        <w:t xml:space="preserve">Динамика роста/снижения количества </w:t>
      </w:r>
      <w:r>
        <w:rPr>
          <w:b/>
        </w:rPr>
        <w:t xml:space="preserve">устных </w:t>
      </w:r>
      <w:r w:rsidRPr="00FC4CAF">
        <w:rPr>
          <w:b/>
        </w:rPr>
        <w:t>обращений, поступивших в адрес министерства сельского хозяйства Новосибирской области</w:t>
      </w:r>
    </w:p>
    <w:p w:rsidR="00C844D6" w:rsidRPr="00332290" w:rsidRDefault="00C844D6" w:rsidP="009030FD">
      <w:pPr>
        <w:ind w:firstLine="709"/>
        <w:rPr>
          <w:shd w:val="clear" w:color="auto" w:fill="FFFFFF"/>
        </w:rPr>
      </w:pPr>
      <w:r w:rsidRPr="00FC4CAF">
        <w:rPr>
          <w:noProof/>
        </w:rPr>
        <w:drawing>
          <wp:inline distT="0" distB="0" distL="0" distR="0" wp14:anchorId="5D0A8AD3" wp14:editId="787CAC52">
            <wp:extent cx="5374005" cy="239839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030FD" w:rsidRPr="00332290" w:rsidRDefault="009030FD" w:rsidP="009030FD">
      <w:pPr>
        <w:ind w:firstLine="709"/>
        <w:rPr>
          <w:shd w:val="clear" w:color="auto" w:fill="FFFFFF"/>
        </w:rPr>
      </w:pPr>
    </w:p>
    <w:p w:rsidR="009030FD" w:rsidRDefault="009030FD" w:rsidP="009030FD">
      <w:pPr>
        <w:ind w:firstLine="709"/>
        <w:rPr>
          <w:b/>
          <w:shd w:val="clear" w:color="auto" w:fill="FFFFFF"/>
        </w:rPr>
      </w:pPr>
      <w:r w:rsidRPr="00332290"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9030FD" w:rsidRPr="00332290" w:rsidRDefault="009030FD" w:rsidP="009030FD">
      <w:pPr>
        <w:ind w:firstLine="709"/>
        <w:rPr>
          <w:b/>
          <w:shd w:val="clear" w:color="auto" w:fill="FFFFFF"/>
        </w:rPr>
      </w:pPr>
    </w:p>
    <w:p w:rsidR="009030FD" w:rsidRPr="00332290" w:rsidRDefault="009030FD" w:rsidP="009030FD">
      <w:pPr>
        <w:ind w:firstLine="709"/>
        <w:rPr>
          <w:shd w:val="clear" w:color="auto" w:fill="FFFFFF"/>
        </w:rPr>
      </w:pPr>
      <w:r w:rsidRPr="00332290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 w:rsidR="007A0C49">
        <w:rPr>
          <w:shd w:val="clear" w:color="auto" w:fill="FFFFFF"/>
        </w:rPr>
        <w:t>апреле</w:t>
      </w:r>
      <w:r>
        <w:rPr>
          <w:shd w:val="clear" w:color="auto" w:fill="FFFFFF"/>
        </w:rPr>
        <w:t xml:space="preserve"> </w:t>
      </w:r>
      <w:r w:rsidRPr="00332290">
        <w:rPr>
          <w:shd w:val="clear" w:color="auto" w:fill="FFFFFF"/>
        </w:rPr>
        <w:t>20</w:t>
      </w:r>
      <w:r w:rsidR="007A0C49">
        <w:rPr>
          <w:shd w:val="clear" w:color="auto" w:fill="FFFFFF"/>
        </w:rPr>
        <w:t>2</w:t>
      </w:r>
      <w:r w:rsidR="00C844D6">
        <w:rPr>
          <w:shd w:val="clear" w:color="auto" w:fill="FFFFFF"/>
        </w:rPr>
        <w:t>2</w:t>
      </w:r>
      <w:r w:rsidRPr="00332290">
        <w:rPr>
          <w:shd w:val="clear" w:color="auto" w:fill="FFFFFF"/>
        </w:rPr>
        <w:t xml:space="preserve"> года в Минсельхозе НСО обращений, поставленных на контроль, с истекшими сроками рассмотрения нет.</w:t>
      </w:r>
    </w:p>
    <w:p w:rsidR="009030FD" w:rsidRPr="005A191A" w:rsidRDefault="009030FD" w:rsidP="009030FD">
      <w:pPr>
        <w:ind w:firstLine="709"/>
        <w:rPr>
          <w:sz w:val="18"/>
          <w:szCs w:val="18"/>
          <w:shd w:val="clear" w:color="auto" w:fill="FFFFFF"/>
        </w:rPr>
      </w:pPr>
      <w:r w:rsidRPr="00332290">
        <w:rPr>
          <w:shd w:val="clear" w:color="auto" w:fill="FFFFFF"/>
        </w:rPr>
        <w:t xml:space="preserve">Организация работы с обращениями в Минсельхозе НСО позволила </w:t>
      </w:r>
      <w:r>
        <w:rPr>
          <w:shd w:val="clear" w:color="auto" w:fill="FFFFFF"/>
        </w:rPr>
        <w:t xml:space="preserve">в </w:t>
      </w:r>
      <w:r w:rsidR="007A0C49">
        <w:rPr>
          <w:shd w:val="clear" w:color="auto" w:fill="FFFFFF"/>
        </w:rPr>
        <w:t xml:space="preserve">апреле </w:t>
      </w:r>
      <w:r w:rsidRPr="00332290">
        <w:rPr>
          <w:shd w:val="clear" w:color="auto" w:fill="FFFFFF"/>
        </w:rPr>
        <w:t>20</w:t>
      </w:r>
      <w:r w:rsidR="007A0C49">
        <w:rPr>
          <w:shd w:val="clear" w:color="auto" w:fill="FFFFFF"/>
        </w:rPr>
        <w:t>22</w:t>
      </w:r>
      <w:r w:rsidRPr="00332290">
        <w:rPr>
          <w:shd w:val="clear" w:color="auto" w:fill="FFFFFF"/>
        </w:rPr>
        <w:t xml:space="preserve"> года обеспечить своевременное, объективное и всестороннее рассмотрение </w:t>
      </w:r>
      <w:r>
        <w:rPr>
          <w:shd w:val="clear" w:color="auto" w:fill="FFFFFF"/>
        </w:rPr>
        <w:t>содержащихся в обращениях</w:t>
      </w:r>
      <w:r w:rsidRPr="00332290">
        <w:rPr>
          <w:shd w:val="clear" w:color="auto" w:fill="FFFFFF"/>
        </w:rPr>
        <w:t xml:space="preserve"> граждан</w:t>
      </w:r>
      <w:r>
        <w:rPr>
          <w:shd w:val="clear" w:color="auto" w:fill="FFFFFF"/>
        </w:rPr>
        <w:t xml:space="preserve"> вопросов</w:t>
      </w:r>
      <w:r w:rsidRPr="00332290">
        <w:rPr>
          <w:shd w:val="clear" w:color="auto" w:fill="FFFFFF"/>
        </w:rPr>
        <w:t>, своевременно принимать меры, направленные на восстановление или защиту нарушенных прав, свобод и законных интересов граждан</w:t>
      </w:r>
      <w:r>
        <w:rPr>
          <w:shd w:val="clear" w:color="auto" w:fill="FFFFFF"/>
        </w:rPr>
        <w:t>.</w:t>
      </w:r>
      <w:r w:rsidRPr="00332290">
        <w:t xml:space="preserve"> </w:t>
      </w:r>
    </w:p>
    <w:p w:rsidR="009B7152" w:rsidRDefault="009B7152">
      <w:pPr>
        <w:spacing w:after="285" w:line="259" w:lineRule="auto"/>
        <w:ind w:left="17" w:hanging="10"/>
        <w:jc w:val="left"/>
      </w:pPr>
    </w:p>
    <w:sectPr w:rsidR="009B7152" w:rsidSect="00EC27A3">
      <w:pgSz w:w="11900" w:h="16840"/>
      <w:pgMar w:top="2110" w:right="483" w:bottom="563" w:left="14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B1" w:rsidRDefault="00F429B1">
      <w:pPr>
        <w:spacing w:after="0" w:line="240" w:lineRule="auto"/>
      </w:pPr>
      <w:r>
        <w:separator/>
      </w:r>
    </w:p>
  </w:endnote>
  <w:endnote w:type="continuationSeparator" w:id="0">
    <w:p w:rsidR="00F429B1" w:rsidRDefault="00F4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B1" w:rsidRDefault="00F429B1">
      <w:pPr>
        <w:spacing w:after="0" w:line="240" w:lineRule="auto"/>
      </w:pPr>
      <w:r>
        <w:separator/>
      </w:r>
    </w:p>
  </w:footnote>
  <w:footnote w:type="continuationSeparator" w:id="0">
    <w:p w:rsidR="00F429B1" w:rsidRDefault="00F4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pt;height:.7pt;visibility:visible;mso-wrap-style:square" o:bullet="t">
        <v:imagedata r:id="rId1" o:title=""/>
      </v:shape>
    </w:pict>
  </w:numPicBullet>
  <w:abstractNum w:abstractNumId="0" w15:restartNumberingAfterBreak="0">
    <w:nsid w:val="06407632"/>
    <w:multiLevelType w:val="hybridMultilevel"/>
    <w:tmpl w:val="7FB01A32"/>
    <w:lvl w:ilvl="0" w:tplc="39303FC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1C438A0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9B05C0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BA818E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6BE4DE2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228AEA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148DE0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0562E4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134B6EC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A7B2D"/>
    <w:multiLevelType w:val="hybridMultilevel"/>
    <w:tmpl w:val="76B09CA2"/>
    <w:lvl w:ilvl="0" w:tplc="6D8E7A4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F87B16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C67D66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2CE484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C6FE62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424986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474E94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D3C5582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18EEE6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3054D"/>
    <w:multiLevelType w:val="hybridMultilevel"/>
    <w:tmpl w:val="FFDE7BAC"/>
    <w:lvl w:ilvl="0" w:tplc="E70682D0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89AD1F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F36654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F8DD5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02D6C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444D9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748CC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5E3D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47A50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DA0BC8"/>
    <w:multiLevelType w:val="hybridMultilevel"/>
    <w:tmpl w:val="4A9CA606"/>
    <w:lvl w:ilvl="0" w:tplc="CAA4B06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B2064D0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FD0F814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B14CA60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C7ADB66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340EC5A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BBE8FD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5D25D7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D80F72A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396731"/>
    <w:multiLevelType w:val="hybridMultilevel"/>
    <w:tmpl w:val="FA1A70FA"/>
    <w:lvl w:ilvl="0" w:tplc="83CA515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90AB70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A3204F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2D01E3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08AC39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4EA740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CCF0A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9F4500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F2ACF9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983107"/>
    <w:multiLevelType w:val="hybridMultilevel"/>
    <w:tmpl w:val="1960E3EC"/>
    <w:lvl w:ilvl="0" w:tplc="8470497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D8EC6E6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8C243BA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B8C70EC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B823BDE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F1A5DE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DCAF024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60CF0B2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FA4FEC2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38095A"/>
    <w:multiLevelType w:val="hybridMultilevel"/>
    <w:tmpl w:val="0510B5B8"/>
    <w:lvl w:ilvl="0" w:tplc="00A647A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D044B08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7F05BA2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DEC8C24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5FEF60E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98E5308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A366038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F36DBF8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C8EE33C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9652EE"/>
    <w:multiLevelType w:val="hybridMultilevel"/>
    <w:tmpl w:val="932696BE"/>
    <w:lvl w:ilvl="0" w:tplc="6AAE310C">
      <w:start w:val="1"/>
      <w:numFmt w:val="bullet"/>
      <w:lvlText w:val="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8E4398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600268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D347D8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8B00F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EF44C9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E7E64C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4AE6A2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DA228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A67979"/>
    <w:multiLevelType w:val="hybridMultilevel"/>
    <w:tmpl w:val="E4BA6AA8"/>
    <w:lvl w:ilvl="0" w:tplc="2D265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4C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92F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60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0D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909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581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EB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61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5057F10"/>
    <w:multiLevelType w:val="hybridMultilevel"/>
    <w:tmpl w:val="DA6ACE9E"/>
    <w:lvl w:ilvl="0" w:tplc="FB207CF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8782BB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7F45C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C1E2D2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B20099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8B627D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F3E393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D76E2C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48620B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7F7429"/>
    <w:multiLevelType w:val="hybridMultilevel"/>
    <w:tmpl w:val="26EECA4C"/>
    <w:lvl w:ilvl="0" w:tplc="5C14D41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7C62474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E9407F8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CE471C6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556EDC8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990EC7C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0EAED40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0F2D2DE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DEC409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32911"/>
    <w:multiLevelType w:val="hybridMultilevel"/>
    <w:tmpl w:val="751645CA"/>
    <w:lvl w:ilvl="0" w:tplc="EB4C6E4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F46B01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F728C18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556CFE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926763E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F2AB2F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AF2885C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948930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9D67FC4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4"/>
    <w:rsid w:val="000B4BBF"/>
    <w:rsid w:val="000B698B"/>
    <w:rsid w:val="000C1339"/>
    <w:rsid w:val="001A72FB"/>
    <w:rsid w:val="001E638F"/>
    <w:rsid w:val="001E72B5"/>
    <w:rsid w:val="00247777"/>
    <w:rsid w:val="00265076"/>
    <w:rsid w:val="00277B9D"/>
    <w:rsid w:val="002A475E"/>
    <w:rsid w:val="00352F96"/>
    <w:rsid w:val="003908EE"/>
    <w:rsid w:val="004344B0"/>
    <w:rsid w:val="0045485B"/>
    <w:rsid w:val="004C3044"/>
    <w:rsid w:val="00577B86"/>
    <w:rsid w:val="005C4D61"/>
    <w:rsid w:val="006225C4"/>
    <w:rsid w:val="006D29F2"/>
    <w:rsid w:val="007A0C49"/>
    <w:rsid w:val="00810654"/>
    <w:rsid w:val="00840A57"/>
    <w:rsid w:val="008F497A"/>
    <w:rsid w:val="00900EE4"/>
    <w:rsid w:val="009030FD"/>
    <w:rsid w:val="00906B7B"/>
    <w:rsid w:val="00944D45"/>
    <w:rsid w:val="00952174"/>
    <w:rsid w:val="00990DDF"/>
    <w:rsid w:val="009B7152"/>
    <w:rsid w:val="009B7247"/>
    <w:rsid w:val="00A33104"/>
    <w:rsid w:val="00C52D13"/>
    <w:rsid w:val="00C844D6"/>
    <w:rsid w:val="00D54BDA"/>
    <w:rsid w:val="00DC3225"/>
    <w:rsid w:val="00E009F9"/>
    <w:rsid w:val="00E40474"/>
    <w:rsid w:val="00E50C46"/>
    <w:rsid w:val="00EC27A3"/>
    <w:rsid w:val="00F221BA"/>
    <w:rsid w:val="00F25DBB"/>
    <w:rsid w:val="00F27117"/>
    <w:rsid w:val="00F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A804"/>
  <w15:docId w15:val="{449A70AB-BE8C-4DFB-88D6-F4C40E10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7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90"/>
      <c:hPercent val="42"/>
      <c:rotY val="33"/>
      <c:depthPercent val="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6072144288577156E-2"/>
          <c:y val="5.46875E-2"/>
          <c:w val="0.96392785571142281"/>
          <c:h val="0.55468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апр.22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00-4E1C-8D52-DFF924DB3948}"/>
                </c:ext>
              </c:extLst>
            </c:dLbl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37</c:v>
                </c:pt>
                <c:pt idx="1">
                  <c:v>21</c:v>
                </c:pt>
                <c:pt idx="2">
                  <c:v>16</c:v>
                </c:pt>
                <c:pt idx="3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724D-42CC-A6FA-7427E0CD63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мар.22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39</c:v>
                </c:pt>
                <c:pt idx="1">
                  <c:v>20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724D-42CC-A6FA-7427E0CD633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апр.21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34</c:v>
                </c:pt>
                <c:pt idx="1">
                  <c:v>34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724D-42CC-A6FA-7427E0CD63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box"/>
        <c:axId val="1756316112"/>
        <c:axId val="1"/>
        <c:axId val="0"/>
      </c:bar3DChart>
      <c:catAx>
        <c:axId val="175631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6316112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1422845691382766"/>
          <c:y val="0.89453125"/>
          <c:w val="0.77154308617234468"/>
          <c:h val="9.37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hPercent val="32"/>
      <c:rotY val="10"/>
      <c:depthPercent val="1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620938628158844"/>
          <c:y val="0.17355371900826447"/>
          <c:w val="0.85379061371841158"/>
          <c:h val="0.64876033057851235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обращений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834-4129-826C-892D5C782F67}"/>
              </c:ext>
            </c:extLst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834-4129-826C-892D5C782F67}"/>
              </c:ext>
            </c:extLst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A834-4129-826C-892D5C782F67}"/>
              </c:ext>
            </c:extLst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834-4129-826C-892D5C782F67}"/>
              </c:ext>
            </c:extLst>
          </c:dPt>
          <c:dLbls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44652</c:v>
                </c:pt>
                <c:pt idx="1">
                  <c:v>44621</c:v>
                </c:pt>
                <c:pt idx="2">
                  <c:v>44287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37</c:v>
                </c:pt>
                <c:pt idx="1">
                  <c:v>39</c:v>
                </c:pt>
                <c:pt idx="2">
                  <c:v>18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A834-4129-826C-892D5C782F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5127984"/>
        <c:axId val="1"/>
        <c:axId val="0"/>
      </c:bar3DChart>
      <c:catAx>
        <c:axId val="3051279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 обращений</a:t>
                </a:r>
              </a:p>
            </c:rich>
          </c:tx>
          <c:layout>
            <c:manualLayout>
              <c:xMode val="edge"/>
              <c:yMode val="edge"/>
              <c:x val="3.6101083032490974E-2"/>
              <c:y val="0.45041322314049587"/>
            </c:manualLayout>
          </c:layout>
          <c:overlay val="0"/>
          <c:spPr>
            <a:noFill/>
            <a:ln w="2538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5127984"/>
        <c:crosses val="autoZero"/>
        <c:crossBetween val="between"/>
      </c:valAx>
      <c:spPr>
        <a:noFill/>
        <a:ln w="2538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hPercent val="32"/>
      <c:rotY val="10"/>
      <c:depthPercent val="1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620938628158844"/>
          <c:y val="0.17355371900826447"/>
          <c:w val="0.85379061371841158"/>
          <c:h val="0.64876033057851235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обращений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3C6-4DD6-953C-085986C9B27A}"/>
              </c:ext>
            </c:extLst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3C6-4DD6-953C-085986C9B27A}"/>
              </c:ext>
            </c:extLst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3C6-4DD6-953C-085986C9B27A}"/>
              </c:ext>
            </c:extLst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3C6-4DD6-953C-085986C9B27A}"/>
              </c:ext>
            </c:extLst>
          </c:dPt>
          <c:dLbls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44652</c:v>
                </c:pt>
                <c:pt idx="1">
                  <c:v>44621</c:v>
                </c:pt>
                <c:pt idx="2">
                  <c:v>44287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21</c:v>
                </c:pt>
                <c:pt idx="1">
                  <c:v>20</c:v>
                </c:pt>
                <c:pt idx="2">
                  <c:v>34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D3C6-4DD6-953C-085986C9B2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92932480"/>
        <c:axId val="1"/>
        <c:axId val="0"/>
      </c:bar3DChart>
      <c:catAx>
        <c:axId val="16929324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 обращений</a:t>
                </a:r>
              </a:p>
            </c:rich>
          </c:tx>
          <c:layout>
            <c:manualLayout>
              <c:xMode val="edge"/>
              <c:yMode val="edge"/>
              <c:x val="3.6101083032490974E-2"/>
              <c:y val="0.45041322314049587"/>
            </c:manualLayout>
          </c:layout>
          <c:overlay val="0"/>
          <c:spPr>
            <a:noFill/>
            <a:ln w="2538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2932480"/>
        <c:crosses val="autoZero"/>
        <c:crossBetween val="between"/>
      </c:valAx>
      <c:spPr>
        <a:noFill/>
        <a:ln w="2538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4"/>
      <c:hPercent val="57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16245487364621E-2"/>
          <c:y val="4.5180722891566265E-2"/>
          <c:w val="0.95848375451263534"/>
          <c:h val="0.846385542168674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апр.22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21</c:v>
                </c:pt>
                <c:pt idx="1">
                  <c:v>11</c:v>
                </c:pt>
                <c:pt idx="2">
                  <c:v>1</c:v>
                </c:pt>
                <c:pt idx="3">
                  <c:v>2</c:v>
                </c:pt>
                <c:pt idx="4">
                  <c:v>7</c:v>
                </c:pt>
                <c:pt idx="5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6682-4001-BB10-EF4311C87C6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мар.22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20</c:v>
                </c:pt>
                <c:pt idx="1">
                  <c:v>10</c:v>
                </c:pt>
                <c:pt idx="2">
                  <c:v>1</c:v>
                </c:pt>
                <c:pt idx="3">
                  <c:v>8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6682-4001-BB10-EF4311C87C6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апр.21</c:v>
                </c:pt>
              </c:strCache>
            </c:strRef>
          </c:tx>
          <c:spPr>
            <a:solidFill>
              <a:srgbClr val="FFFFCC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34</c:v>
                </c:pt>
                <c:pt idx="1">
                  <c:v>12</c:v>
                </c:pt>
                <c:pt idx="2">
                  <c:v>2</c:v>
                </c:pt>
                <c:pt idx="3">
                  <c:v>12</c:v>
                </c:pt>
                <c:pt idx="4">
                  <c:v>7</c:v>
                </c:pt>
                <c:pt idx="5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682-4001-BB10-EF4311C87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gapDepth val="0"/>
        <c:shape val="box"/>
        <c:axId val="1999797984"/>
        <c:axId val="1"/>
        <c:axId val="0"/>
      </c:bar3DChart>
      <c:catAx>
        <c:axId val="199979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99797984"/>
        <c:crosses val="autoZero"/>
        <c:crossBetween val="between"/>
      </c:valAx>
      <c:spPr>
        <a:noFill/>
        <a:ln w="25408">
          <a:noFill/>
        </a:ln>
      </c:spPr>
    </c:plotArea>
    <c:legend>
      <c:legendPos val="r"/>
      <c:layout>
        <c:manualLayout>
          <c:xMode val="edge"/>
          <c:yMode val="edge"/>
          <c:x val="0.17509025270758122"/>
          <c:y val="0.9487951807228916"/>
          <c:w val="0.81768953068592054"/>
          <c:h val="5.4216867469879519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hPercent val="32"/>
      <c:rotY val="10"/>
      <c:depthPercent val="1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620938628158844"/>
          <c:y val="0.17355371900826447"/>
          <c:w val="0.85379061371841158"/>
          <c:h val="0.64876033057851235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обращений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57C-4419-B596-D434B7B4F417}"/>
              </c:ext>
            </c:extLst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57C-4419-B596-D434B7B4F417}"/>
              </c:ext>
            </c:extLst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57C-4419-B596-D434B7B4F417}"/>
              </c:ext>
            </c:extLst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69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57C-4419-B596-D434B7B4F417}"/>
              </c:ext>
            </c:extLst>
          </c:dPt>
          <c:dLbls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44652</c:v>
                </c:pt>
                <c:pt idx="1">
                  <c:v>44621</c:v>
                </c:pt>
                <c:pt idx="2">
                  <c:v>44287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</c:v>
                </c:pt>
                <c:pt idx="1">
                  <c:v>28</c:v>
                </c:pt>
                <c:pt idx="2">
                  <c:v>20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957C-4419-B596-D434B7B4F4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5127984"/>
        <c:axId val="1"/>
        <c:axId val="0"/>
      </c:bar3DChart>
      <c:catAx>
        <c:axId val="3051279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 обращений</a:t>
                </a:r>
              </a:p>
            </c:rich>
          </c:tx>
          <c:layout>
            <c:manualLayout>
              <c:xMode val="edge"/>
              <c:yMode val="edge"/>
              <c:x val="3.6101083032490974E-2"/>
              <c:y val="0.45041322314049587"/>
            </c:manualLayout>
          </c:layout>
          <c:overlay val="0"/>
          <c:spPr>
            <a:noFill/>
            <a:ln w="2538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51279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</cdr:x>
      <cdr:y>0.52875</cdr:y>
    </cdr:from>
    <cdr:to>
      <cdr:x>0.625</cdr:x>
      <cdr:y>0.73175</cdr:y>
    </cdr:to>
    <cdr:sp macro="" textlink="">
      <cdr:nvSpPr>
        <cdr:cNvPr id="1025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43962" y="1218795"/>
          <a:ext cx="554069" cy="4679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0.325</cdr:x>
      <cdr:y>0.40525</cdr:y>
    </cdr:from>
    <cdr:to>
      <cdr:x>0.441</cdr:x>
      <cdr:y>0.7065</cdr:y>
    </cdr:to>
    <cdr:sp macro="" textlink="">
      <cdr:nvSpPr>
        <cdr:cNvPr id="1026" name="Line 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14976" y="934122"/>
          <a:ext cx="612115" cy="6943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0.337</cdr:x>
      <cdr:y>0.5295</cdr:y>
    </cdr:from>
    <cdr:to>
      <cdr:x>0.3965</cdr:x>
      <cdr:y>0.63275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78298" y="1220524"/>
          <a:ext cx="313973" cy="2379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50" b="1" i="0" u="none" strike="noStrike" baseline="0">
              <a:solidFill>
                <a:srgbClr val="000000"/>
              </a:solidFill>
              <a:latin typeface="Calibri"/>
            </a:rPr>
            <a:t>52%</a:t>
          </a:r>
        </a:p>
      </cdr:txBody>
    </cdr:sp>
  </cdr:relSizeAnchor>
  <cdr:relSizeAnchor xmlns:cdr="http://schemas.openxmlformats.org/drawingml/2006/chartDrawing">
    <cdr:from>
      <cdr:x>0.537</cdr:x>
      <cdr:y>0.4045</cdr:y>
    </cdr:from>
    <cdr:to>
      <cdr:x>0.62375</cdr:x>
      <cdr:y>0.53675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3668" y="932393"/>
          <a:ext cx="457767" cy="3048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50" b="1" i="0" u="none" strike="noStrike" baseline="0">
              <a:solidFill>
                <a:srgbClr val="000000"/>
              </a:solidFill>
              <a:latin typeface="Calibri"/>
            </a:rPr>
            <a:t>44%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0.52</cdr:x>
      <cdr:y>0.52875</cdr:y>
    </cdr:from>
    <cdr:to>
      <cdr:x>0.625</cdr:x>
      <cdr:y>0.73175</cdr:y>
    </cdr:to>
    <cdr:sp macro="" textlink="">
      <cdr:nvSpPr>
        <cdr:cNvPr id="1025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43962" y="1218795"/>
          <a:ext cx="554069" cy="4679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0.325</cdr:x>
      <cdr:y>0.40525</cdr:y>
    </cdr:from>
    <cdr:to>
      <cdr:x>0.441</cdr:x>
      <cdr:y>0.7065</cdr:y>
    </cdr:to>
    <cdr:sp macro="" textlink="">
      <cdr:nvSpPr>
        <cdr:cNvPr id="1026" name="Line 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14976" y="934122"/>
          <a:ext cx="612115" cy="6943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0.337</cdr:x>
      <cdr:y>0.5295</cdr:y>
    </cdr:from>
    <cdr:to>
      <cdr:x>0.3965</cdr:x>
      <cdr:y>0.63275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78298" y="1220524"/>
          <a:ext cx="313973" cy="2379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50" b="1" i="0" u="none" strike="noStrike" baseline="0">
              <a:solidFill>
                <a:srgbClr val="000000"/>
              </a:solidFill>
              <a:latin typeface="Calibri"/>
            </a:rPr>
            <a:t>52%</a:t>
          </a:r>
        </a:p>
      </cdr:txBody>
    </cdr:sp>
  </cdr:relSizeAnchor>
  <cdr:relSizeAnchor xmlns:cdr="http://schemas.openxmlformats.org/drawingml/2006/chartDrawing">
    <cdr:from>
      <cdr:x>0.537</cdr:x>
      <cdr:y>0.4045</cdr:y>
    </cdr:from>
    <cdr:to>
      <cdr:x>0.62375</cdr:x>
      <cdr:y>0.53675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3668" y="932393"/>
          <a:ext cx="457767" cy="3048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50" b="1" i="0" u="none" strike="noStrike" baseline="0">
              <a:solidFill>
                <a:srgbClr val="000000"/>
              </a:solidFill>
              <a:latin typeface="Calibri"/>
            </a:rPr>
            <a:t>44%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0.52</cdr:x>
      <cdr:y>0.52875</cdr:y>
    </cdr:from>
    <cdr:to>
      <cdr:x>0.625</cdr:x>
      <cdr:y>0.73175</cdr:y>
    </cdr:to>
    <cdr:sp macro="" textlink="">
      <cdr:nvSpPr>
        <cdr:cNvPr id="1025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43962" y="1218795"/>
          <a:ext cx="554069" cy="4679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0.325</cdr:x>
      <cdr:y>0.40525</cdr:y>
    </cdr:from>
    <cdr:to>
      <cdr:x>0.441</cdr:x>
      <cdr:y>0.7065</cdr:y>
    </cdr:to>
    <cdr:sp macro="" textlink="">
      <cdr:nvSpPr>
        <cdr:cNvPr id="1026" name="Line 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14976" y="934122"/>
          <a:ext cx="612115" cy="6943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0.337</cdr:x>
      <cdr:y>0.5295</cdr:y>
    </cdr:from>
    <cdr:to>
      <cdr:x>0.3965</cdr:x>
      <cdr:y>0.63275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78298" y="1220524"/>
          <a:ext cx="313973" cy="2379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50" b="1" i="0" u="none" strike="noStrike" baseline="0">
              <a:solidFill>
                <a:srgbClr val="000000"/>
              </a:solidFill>
              <a:latin typeface="Calibri"/>
            </a:rPr>
            <a:t>52%</a:t>
          </a:r>
        </a:p>
      </cdr:txBody>
    </cdr:sp>
  </cdr:relSizeAnchor>
  <cdr:relSizeAnchor xmlns:cdr="http://schemas.openxmlformats.org/drawingml/2006/chartDrawing">
    <cdr:from>
      <cdr:x>0.537</cdr:x>
      <cdr:y>0.4045</cdr:y>
    </cdr:from>
    <cdr:to>
      <cdr:x>0.62375</cdr:x>
      <cdr:y>0.53675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3668" y="932393"/>
          <a:ext cx="457767" cy="3048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50" b="1" i="0" u="none" strike="noStrike" baseline="0">
              <a:solidFill>
                <a:srgbClr val="000000"/>
              </a:solidFill>
              <a:latin typeface="Calibri"/>
            </a:rPr>
            <a:t>44%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Малеванная Людмила Мефодьевна</dc:creator>
  <cp:keywords/>
  <cp:lastModifiedBy>Малеванная Людмила Мефодьевна</cp:lastModifiedBy>
  <cp:revision>19</cp:revision>
  <dcterms:created xsi:type="dcterms:W3CDTF">2022-05-16T05:54:00Z</dcterms:created>
  <dcterms:modified xsi:type="dcterms:W3CDTF">2022-05-23T02:25:00Z</dcterms:modified>
</cp:coreProperties>
</file>