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НФОРМАЦИЯ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значениях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результатов предоставления субсидий садоводческим и огородническим некоммерческим товариществам в Новосибирской области,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предоставляемых за счет средств областного бюджета </w:t>
        <w:br/>
        <w:t xml:space="preserve">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pStyle w:val="83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tbl>
      <w:tblPr>
        <w:tblStyle w:val="686"/>
        <w:tblW w:w="0" w:type="auto"/>
        <w:jc w:val="center"/>
        <w:tblInd w:w="-836" w:type="dxa"/>
        <w:tblLayout w:type="fixed"/>
        <w:tblLook w:val="04A0" w:firstRow="1" w:lastRow="0" w:firstColumn="1" w:lastColumn="0" w:noHBand="0" w:noVBand="1"/>
      </w:tblPr>
      <w:tblGrid>
        <w:gridCol w:w="4590"/>
        <w:gridCol w:w="5811"/>
        <w:gridCol w:w="4562"/>
      </w:tblGrid>
      <w:tr>
        <w:tblPrEx/>
        <w:trPr>
          <w:jc w:val="center"/>
          <w:trHeight w:val="1225"/>
        </w:trPr>
        <w:tc>
          <w:tcPr>
            <w:tcW w:w="4590" w:type="dxa"/>
            <w:vAlign w:val="center"/>
            <w:textDirection w:val="lrTb"/>
            <w:noWrap w:val="false"/>
          </w:tcPr>
          <w:p>
            <w:pPr>
              <w:pStyle w:val="836"/>
              <w:ind w:left="0" w:right="0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субсидии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6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Достигнутые результаты предоставления субсидии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текущем финансовом году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**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86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535"/>
        <w:gridCol w:w="5811"/>
        <w:gridCol w:w="4535"/>
      </w:tblGrid>
      <w:tr>
        <w:tblPrEx/>
        <w:trPr>
          <w:trHeight w:val="399"/>
          <w:tblHeader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 Инженерное обеспечение территорий садоводства и огородничества: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противопожарные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участков садоводов, огородников, улучшивших качество пожарной безопасности (штук)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29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объекты электроснабжения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участков садоводов, огородников, получивших доступ и (или) улучшивших качество подачи энергоснабжения (штук)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35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 водоснабжения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участков садоводов, огородников, получивших доступ и (или) улучшивших качество подачи водоснабжения (штук)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систем мелиорации в садоводческих, огороднических некоммерческих товариществах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метров проложенных мелиоративных систем на участках садоводов, огородников (м)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302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 Проведение комплексных кадастровых работ территорий садоводства или огородничества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участков садоводов, огородников, охваченных мероприятиями по землеустройству и организации территорий садоводческих, огороднических некоммерческих товариществ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18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 Строительство, реконструкция и капитальный ремонт имущества общего пользования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833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 строительство и ремонт дорог и пешеходных переходов садоводческих, огороднических некоммерческих товариществах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некоммерческих товариществ (штук)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833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 строительство и капитальный ремонт дорог общего пользования к территориям садоводческих, огороднических некоммерческих товариществах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некоммерческих товариществ (штук)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36"/>
        <w:jc w:val="both"/>
        <w:spacing w:before="12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* - заполняется самостоятельно субъектом государственной поддержки по тем видам субсидий, на которые он претендует в текущем финансовом году;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</w:r>
    </w:p>
    <w:p>
      <w:pPr>
        <w:pStyle w:val="83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** - не ниже фактических показателей за предшествующий год.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Значения результатов предоставления субсидии рассчитываются исходя из достигнутых результатов предоставления субсидии за предшествующий год, за исключением субъектов государственной поддержки, которые начали хозяйственную деятельность в текущем году либо не получали субсидию в предыдущем финансовом году.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</w:r>
    </w:p>
    <w:p>
      <w:pPr>
        <w:pStyle w:val="83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pStyle w:val="83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85"/>
        <w:gridCol w:w="4110"/>
        <w:gridCol w:w="3402"/>
        <w:gridCol w:w="3402"/>
      </w:tblGrid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line="240" w:lineRule="auto"/>
              <w:widowControl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sz w:val="28"/>
                <w:lang w:eastAsia="en-US"/>
              </w:rPr>
              <w:t xml:space="preserve">Руководитель Получателя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sz w:val="28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  <w:sz w:val="28"/>
              </w:rPr>
            </w:r>
          </w:p>
          <w:p>
            <w:pPr>
              <w:jc w:val="both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(уполномоченное лицо)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both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____________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_________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(подпись)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spacing w:line="240" w:lineRule="auto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 w:eastAsiaTheme="minorHAnsi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134" w:right="1134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  <w:rPr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  <w:r/>
    <w:r>
      <w:rPr>
        <w:rFonts w:ascii="Times New Roman" w:hAnsi="Times New Roman" w:cs="Times New Roman"/>
        <w:sz w:val="24"/>
        <w:szCs w:val="24"/>
      </w:rPr>
    </w:r>
  </w:p>
  <w:p>
    <w:pPr>
      <w:pStyle w:val="680"/>
      <w:jc w:val="center"/>
      <w:rPr>
        <w:rFonts w:ascii="Times New Roman" w:hAnsi="Times New Roman" w:cs="Times New Roman"/>
        <w:sz w:val="24"/>
        <w:szCs w:val="24"/>
      </w:rPr>
    </w:pPr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37" w:customStyle="1">
    <w:name w:val="Char Style 7"/>
    <w:uiPriority w:val="99"/>
    <w:rPr>
      <w:sz w:val="17"/>
      <w:szCs w:val="17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2025-09-12T05:42:22Z</dcterms:modified>
</cp:coreProperties>
</file>