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государственной услуги либо отказа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государственной услуги является отсутствие данных о поступлении доплаты, которую должен произвести победитель аукциона (в случае, если договор заключается по результатам аукциона).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государственной услуги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отсутствие в заявлении необходимых сведений,  а также несоответствие сведений, указанных в заявлении, правилам и ограничениям рыболовства, установленным в соответствии с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представление неполного комплекта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в представленных документах недостоверной, искаженной или неполной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совершение заявителем в предшествующем и текущем календарных годах двух или более нарушений правил рыболовства, установленных в соответствии с законодательством Российской Федерации, в результате чего был причинен крупный ущерб водным биологическим ресур</w:t>
      </w:r>
      <w:r>
        <w:rPr>
          <w:rFonts w:ascii="Times New Roman" w:hAnsi="Times New Roman" w:cs="Times New Roman"/>
          <w:sz w:val="28"/>
          <w:szCs w:val="28"/>
        </w:rPr>
        <w:t xml:space="preserve">сам;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отсутствие указанных в заявлении водных биологических ресурсов в перечне водных биологических ресурсов, утверждаемом в целях реализации постановления Правительства Российской Федерации от 25 августа 2008 г. № 643 «О подготовке и заключении договора 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водными биологическими ресурсами, общий допустимый улов которых не устанавливается», добыча (вылов) которых будет осуществляться на основании договоров;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отсутствие возможности добычи (вылова) водных биологических ресурсов в объеме и районе добычи (вылова) водных биологических ресурсов, указанных в заявлении, на основании данных научных исследований;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неперечисление победителем аукциона доплаты (в случае, если договор заключается по результатам аукциона);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несоответствие заявителя требованиям (</w:t>
      </w:r>
      <w:r>
        <w:rPr>
          <w:rFonts w:ascii="Times New Roman" w:hAnsi="Times New Roman" w:cs="Times New Roman"/>
          <w:sz w:val="28"/>
          <w:szCs w:val="28"/>
        </w:rPr>
        <w:t xml:space="preserve">заявителями являются юридические лица и индивидуальные предприниматели, зарегистрированные в Российской Федерации в соответствии с Федеральным законом от 8 августа 2001 г. № 129-ФЗ «О государственной регистрации юридических лиц и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елей»,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под контролем иностранного инвестора, за исключением случая, если контроль иностранного инвестора в отношении таких юридических лиц установлен в порядке, предусмотренном Федеральным законом от 29 апреля 2008 № 57-ФЗ «О </w:t>
      </w:r>
      <w:r>
        <w:rPr>
          <w:rFonts w:ascii="Times New Roman" w:hAnsi="Times New Roman" w:cs="Times New Roman"/>
          <w:sz w:val="28"/>
          <w:szCs w:val="28"/>
        </w:rPr>
        <w:t xml:space="preserve">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Андрей Сергеевич</dc:creator>
  <cp:keywords/>
  <dc:description/>
  <cp:revision>4</cp:revision>
  <dcterms:created xsi:type="dcterms:W3CDTF">2021-12-07T02:56:00Z</dcterms:created>
  <dcterms:modified xsi:type="dcterms:W3CDTF">2023-10-17T03:24:44Z</dcterms:modified>
</cp:coreProperties>
</file>